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1044" w14:textId="77777777" w:rsidR="001F406C" w:rsidRPr="001F406C" w:rsidRDefault="001F406C" w:rsidP="001F406C">
      <w:pPr>
        <w:spacing w:after="0" w:line="240" w:lineRule="auto"/>
        <w:jc w:val="center"/>
        <w:rPr>
          <w:rFonts w:ascii="Arial" w:eastAsia="Times New Roman" w:hAnsi="Arial" w:cs="Arial"/>
          <w:b/>
          <w:lang w:val="es-ES_tradnl" w:eastAsia="es-ES"/>
        </w:rPr>
      </w:pPr>
      <w:r w:rsidRPr="001F406C">
        <w:rPr>
          <w:rFonts w:ascii="Arial" w:eastAsia="Times New Roman" w:hAnsi="Arial" w:cs="Arial"/>
          <w:b/>
          <w:lang w:val="es-ES_tradnl" w:eastAsia="es-ES"/>
        </w:rPr>
        <w:t>ANEXO TÉCNICO No 2</w:t>
      </w:r>
    </w:p>
    <w:p w14:paraId="764BBB4B" w14:textId="77777777" w:rsidR="001F406C" w:rsidRPr="001F406C" w:rsidRDefault="001F406C" w:rsidP="001F406C">
      <w:pPr>
        <w:spacing w:after="0" w:line="240" w:lineRule="auto"/>
        <w:jc w:val="both"/>
        <w:rPr>
          <w:rFonts w:ascii="Arial" w:eastAsia="Times New Roman" w:hAnsi="Arial" w:cs="Arial"/>
          <w:lang w:val="es-ES_tradnl" w:eastAsia="es-E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91"/>
      </w:tblGrid>
      <w:tr w:rsidR="001F406C" w:rsidRPr="001F406C" w14:paraId="5BBE46AD" w14:textId="77777777" w:rsidTr="009E222D">
        <w:trPr>
          <w:trHeight w:val="334"/>
        </w:trPr>
        <w:tc>
          <w:tcPr>
            <w:tcW w:w="9141" w:type="dxa"/>
          </w:tcPr>
          <w:p w14:paraId="525D2E19" w14:textId="77777777" w:rsidR="001F406C" w:rsidRPr="001F406C" w:rsidRDefault="001F406C" w:rsidP="001F406C">
            <w:pPr>
              <w:spacing w:after="0" w:line="240" w:lineRule="auto"/>
              <w:jc w:val="center"/>
              <w:rPr>
                <w:rFonts w:ascii="Arial" w:eastAsia="Times New Roman" w:hAnsi="Arial" w:cs="Arial"/>
                <w:b/>
                <w:lang w:val="es-ES_tradnl" w:eastAsia="es-ES"/>
              </w:rPr>
            </w:pPr>
            <w:r w:rsidRPr="001F406C">
              <w:rPr>
                <w:rFonts w:ascii="Arial" w:eastAsia="Times New Roman" w:hAnsi="Arial" w:cs="Arial"/>
                <w:b/>
                <w:lang w:val="es-ES_tradnl" w:eastAsia="es-ES"/>
              </w:rPr>
              <w:t>FORMATO ÚNICO DE MEMORIA JUSTIFICATIVA</w:t>
            </w:r>
          </w:p>
        </w:tc>
      </w:tr>
      <w:tr w:rsidR="001F406C" w:rsidRPr="001F406C" w14:paraId="0D828906" w14:textId="77777777" w:rsidTr="009E222D">
        <w:trPr>
          <w:trHeight w:val="70"/>
        </w:trPr>
        <w:tc>
          <w:tcPr>
            <w:tcW w:w="9141" w:type="dxa"/>
          </w:tcPr>
          <w:p w14:paraId="2DAA53A2" w14:textId="77777777" w:rsidR="001F406C" w:rsidRPr="005D46B8" w:rsidRDefault="001F406C" w:rsidP="005D46B8">
            <w:pPr>
              <w:tabs>
                <w:tab w:val="left" w:pos="165"/>
              </w:tabs>
              <w:spacing w:after="0" w:line="240" w:lineRule="auto"/>
              <w:jc w:val="both"/>
              <w:rPr>
                <w:rFonts w:ascii="Arial" w:eastAsia="Times New Roman" w:hAnsi="Arial" w:cs="Arial"/>
                <w:b/>
                <w:lang w:val="es-ES_tradnl" w:eastAsia="es-ES"/>
              </w:rPr>
            </w:pPr>
            <w:r w:rsidRPr="005D46B8">
              <w:rPr>
                <w:rFonts w:ascii="Arial" w:eastAsia="Times New Roman" w:hAnsi="Arial" w:cs="Arial"/>
                <w:lang w:val="es-ES_tradnl" w:eastAsia="es-ES"/>
              </w:rPr>
              <w:br w:type="page"/>
            </w:r>
          </w:p>
          <w:tbl>
            <w:tblPr>
              <w:tblW w:w="877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2"/>
            </w:tblGrid>
            <w:tr w:rsidR="001F406C" w:rsidRPr="005D46B8" w14:paraId="0046AFE9" w14:textId="77777777" w:rsidTr="009E222D">
              <w:trPr>
                <w:trHeight w:val="645"/>
              </w:trPr>
              <w:tc>
                <w:tcPr>
                  <w:tcW w:w="8772" w:type="dxa"/>
                </w:tcPr>
                <w:p w14:paraId="09C27158" w14:textId="1A663E17" w:rsidR="00043C7A" w:rsidRDefault="001F406C" w:rsidP="005D46B8">
                  <w:pPr>
                    <w:numPr>
                      <w:ilvl w:val="0"/>
                      <w:numId w:val="1"/>
                    </w:numPr>
                    <w:tabs>
                      <w:tab w:val="left" w:pos="165"/>
                    </w:tabs>
                    <w:spacing w:after="0" w:line="240" w:lineRule="auto"/>
                    <w:ind w:left="358" w:right="127" w:hanging="284"/>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 xml:space="preserve">ANTECEDENTES Y RAZONES DE OPORTUNIDAD QUE JUSTIFICAN LA </w:t>
                  </w:r>
                  <w:r w:rsidR="00043C7A">
                    <w:rPr>
                      <w:rFonts w:ascii="Arial" w:eastAsia="Times New Roman" w:hAnsi="Arial" w:cs="Arial"/>
                      <w:b/>
                      <w:lang w:val="es-ES_tradnl" w:eastAsia="es-ES"/>
                    </w:rPr>
                    <w:t xml:space="preserve">DEROGATORIA DE LA RESOLUCIÓN </w:t>
                  </w:r>
                  <w:r w:rsidR="00043C7A">
                    <w:rPr>
                      <w:rFonts w:ascii="Arial" w:eastAsia="Times New Roman" w:hAnsi="Arial" w:cs="Arial"/>
                      <w:b/>
                      <w:lang w:val="es-ES_tradnl" w:eastAsia="es-ES"/>
                    </w:rPr>
                    <w:t xml:space="preserve">3539 </w:t>
                  </w:r>
                  <w:r w:rsidR="00043C7A">
                    <w:rPr>
                      <w:rFonts w:ascii="Arial" w:eastAsia="Times New Roman" w:hAnsi="Arial" w:cs="Arial"/>
                      <w:b/>
                      <w:lang w:val="es-ES_tradnl" w:eastAsia="es-ES"/>
                    </w:rPr>
                    <w:t>DE 201</w:t>
                  </w:r>
                  <w:r w:rsidR="00043C7A">
                    <w:rPr>
                      <w:rFonts w:ascii="Arial" w:eastAsia="Times New Roman" w:hAnsi="Arial" w:cs="Arial"/>
                      <w:b/>
                      <w:lang w:val="es-ES_tradnl" w:eastAsia="es-ES"/>
                    </w:rPr>
                    <w:t>9</w:t>
                  </w:r>
                  <w:r w:rsidR="00043C7A">
                    <w:rPr>
                      <w:rFonts w:ascii="Arial" w:eastAsia="Times New Roman" w:hAnsi="Arial" w:cs="Arial"/>
                      <w:b/>
                      <w:lang w:val="es-ES_tradnl" w:eastAsia="es-ES"/>
                    </w:rPr>
                    <w:t xml:space="preserve"> Y LA EXPEDICIÓN DE UN</w:t>
                  </w:r>
                  <w:r w:rsidR="00043C7A">
                    <w:rPr>
                      <w:rFonts w:ascii="Arial" w:eastAsia="Times New Roman" w:hAnsi="Arial" w:cs="Arial"/>
                      <w:b/>
                      <w:lang w:val="es-ES_tradnl" w:eastAsia="es-ES"/>
                    </w:rPr>
                    <w:t xml:space="preserve"> </w:t>
                  </w:r>
                  <w:r w:rsidR="00043C7A">
                    <w:rPr>
                      <w:rFonts w:ascii="Arial" w:eastAsia="Times New Roman" w:hAnsi="Arial" w:cs="Arial"/>
                      <w:b/>
                      <w:lang w:val="es-ES_tradnl" w:eastAsia="es-ES"/>
                    </w:rPr>
                    <w:t>NUEV</w:t>
                  </w:r>
                  <w:r w:rsidR="00043C7A">
                    <w:rPr>
                      <w:rFonts w:ascii="Arial" w:eastAsia="Times New Roman" w:hAnsi="Arial" w:cs="Arial"/>
                      <w:b/>
                      <w:lang w:val="es-ES_tradnl" w:eastAsia="es-ES"/>
                    </w:rPr>
                    <w:t>O</w:t>
                  </w:r>
                  <w:r w:rsidR="00043C7A">
                    <w:rPr>
                      <w:rFonts w:ascii="Arial" w:eastAsia="Times New Roman" w:hAnsi="Arial" w:cs="Arial"/>
                      <w:b/>
                      <w:lang w:val="es-ES_tradnl" w:eastAsia="es-ES"/>
                    </w:rPr>
                    <w:t xml:space="preserve"> </w:t>
                  </w:r>
                  <w:r w:rsidR="00043C7A">
                    <w:rPr>
                      <w:rFonts w:ascii="Arial" w:eastAsia="Times New Roman" w:hAnsi="Arial" w:cs="Arial"/>
                      <w:b/>
                      <w:lang w:val="es-ES_tradnl" w:eastAsia="es-ES"/>
                    </w:rPr>
                    <w:t>ACTO ADMINISTRATIVO</w:t>
                  </w:r>
                </w:p>
                <w:p w14:paraId="7A574032" w14:textId="5F68AD1A" w:rsidR="001F406C" w:rsidRPr="005D46B8" w:rsidRDefault="001F406C" w:rsidP="00043C7A">
                  <w:pPr>
                    <w:tabs>
                      <w:tab w:val="left" w:pos="165"/>
                    </w:tabs>
                    <w:spacing w:after="0" w:line="240" w:lineRule="auto"/>
                    <w:ind w:left="358" w:right="127"/>
                    <w:contextualSpacing/>
                    <w:jc w:val="both"/>
                    <w:rPr>
                      <w:rFonts w:ascii="Arial" w:eastAsia="Times New Roman" w:hAnsi="Arial" w:cs="Arial"/>
                      <w:b/>
                      <w:lang w:val="es-ES_tradnl" w:eastAsia="es-ES"/>
                    </w:rPr>
                  </w:pPr>
                </w:p>
              </w:tc>
            </w:tr>
            <w:tr w:rsidR="001F406C" w:rsidRPr="005D46B8" w14:paraId="3C6ACDE4" w14:textId="77777777" w:rsidTr="00B44311">
              <w:trPr>
                <w:trHeight w:val="693"/>
              </w:trPr>
              <w:tc>
                <w:tcPr>
                  <w:tcW w:w="8772" w:type="dxa"/>
                </w:tcPr>
                <w:p w14:paraId="32D726EE" w14:textId="4E175235" w:rsidR="001F406C" w:rsidRPr="005D46B8" w:rsidRDefault="00043C7A" w:rsidP="00043C7A">
                  <w:pPr>
                    <w:tabs>
                      <w:tab w:val="left" w:pos="1090"/>
                    </w:tabs>
                    <w:spacing w:after="0" w:line="240" w:lineRule="auto"/>
                    <w:jc w:val="both"/>
                    <w:rPr>
                      <w:rFonts w:ascii="Arial" w:eastAsia="Times New Roman" w:hAnsi="Arial" w:cs="Arial"/>
                      <w:lang w:val="es-ES_tradnl" w:eastAsia="es-ES"/>
                    </w:rPr>
                  </w:pPr>
                  <w:r>
                    <w:rPr>
                      <w:rFonts w:ascii="Arial" w:eastAsia="Times New Roman" w:hAnsi="Arial" w:cs="Arial"/>
                      <w:lang w:val="es-ES_tradnl" w:eastAsia="es-ES"/>
                    </w:rPr>
                    <w:tab/>
                  </w:r>
                </w:p>
                <w:p w14:paraId="081F11B9" w14:textId="6B430352" w:rsidR="00043C7A" w:rsidRDefault="00043C7A" w:rsidP="00043C7A">
                  <w:pPr>
                    <w:spacing w:after="0" w:line="240" w:lineRule="auto"/>
                    <w:ind w:right="91"/>
                    <w:jc w:val="both"/>
                    <w:rPr>
                      <w:rFonts w:ascii="Arial" w:hAnsi="Arial" w:cs="Arial"/>
                    </w:rPr>
                  </w:pPr>
                  <w:r w:rsidRPr="00043C7A">
                    <w:rPr>
                      <w:rFonts w:ascii="Arial" w:hAnsi="Arial" w:cs="Arial"/>
                    </w:rPr>
                    <w:t>E</w:t>
                  </w:r>
                  <w:r w:rsidRPr="00043C7A">
                    <w:rPr>
                      <w:rFonts w:ascii="Arial" w:hAnsi="Arial" w:cs="Arial"/>
                    </w:rPr>
                    <w:t xml:space="preserve">l Decreto Ley 1281 de 2002, mediante el cual se expidieron normas para regular los flujos de caja y la utilización oportuna y eficiente de los recursos del Sistema General de Seguridad Social en Salud (SGSSS), en su artículo 3, modificado por el artículo 7 de la Ley 1949 de 2019, </w:t>
                  </w:r>
                  <w:r w:rsidRPr="00043C7A">
                    <w:rPr>
                      <w:rFonts w:ascii="Arial" w:hAnsi="Arial" w:cs="Arial"/>
                    </w:rPr>
                    <w:t>regul</w:t>
                  </w:r>
                  <w:r w:rsidRPr="00043C7A">
                    <w:rPr>
                      <w:rFonts w:ascii="Arial" w:hAnsi="Arial" w:cs="Arial"/>
                    </w:rPr>
                    <w:t>ó lo correspondiente al reintegro de recursos del</w:t>
                  </w:r>
                  <w:r w:rsidR="00365C1B">
                    <w:rPr>
                      <w:rFonts w:ascii="Arial" w:hAnsi="Arial" w:cs="Arial"/>
                    </w:rPr>
                    <w:t xml:space="preserve"> </w:t>
                  </w:r>
                  <w:r w:rsidRPr="00043C7A">
                    <w:rPr>
                      <w:rFonts w:ascii="Arial" w:hAnsi="Arial" w:cs="Arial"/>
                    </w:rPr>
                    <w:t>SGSSS, apropiados o reconocidos sin justa causa, disponiendo que cuando la ADRES, o cualquier entidad o autoridad pública</w:t>
                  </w:r>
                  <w:r w:rsidRPr="00043C7A">
                    <w:rPr>
                      <w:rFonts w:ascii="Arial" w:hAnsi="Arial" w:cs="Arial"/>
                    </w:rPr>
                    <w:t xml:space="preserve"> relacionada como es el caso de la Superintendencia Nacional de Salud</w:t>
                  </w:r>
                  <w:r w:rsidRPr="00043C7A">
                    <w:rPr>
                      <w:rFonts w:ascii="Arial" w:hAnsi="Arial" w:cs="Arial"/>
                    </w:rPr>
                    <w:t xml:space="preserve">, en ejercicio de sus competencias, detecte que se presentó alguna de las precitadas conductas, solicitará la aclaración del hallazgo a quien resulte involucrado, y que si de la respuesta a dicha solicitud se establece que se configuró la apropiación o reconocimiento, ordenará su reintegro, actualizado con el Índice de Precios al Consumidor (IPC), </w:t>
                  </w:r>
                  <w:r>
                    <w:rPr>
                      <w:rFonts w:ascii="Arial" w:hAnsi="Arial" w:cs="Arial"/>
                    </w:rPr>
                    <w:t xml:space="preserve">con base en </w:t>
                  </w:r>
                  <w:r w:rsidRPr="00043C7A">
                    <w:rPr>
                      <w:rFonts w:ascii="Arial" w:hAnsi="Arial" w:cs="Arial"/>
                    </w:rPr>
                    <w:t>el procedimiento que para el efecto estable</w:t>
                  </w:r>
                  <w:r>
                    <w:rPr>
                      <w:rFonts w:ascii="Arial" w:hAnsi="Arial" w:cs="Arial"/>
                    </w:rPr>
                    <w:t>ce</w:t>
                  </w:r>
                  <w:r w:rsidRPr="00043C7A">
                    <w:rPr>
                      <w:rFonts w:ascii="Arial" w:hAnsi="Arial" w:cs="Arial"/>
                    </w:rPr>
                    <w:t xml:space="preserve"> est</w:t>
                  </w:r>
                  <w:r>
                    <w:rPr>
                      <w:rFonts w:ascii="Arial" w:hAnsi="Arial" w:cs="Arial"/>
                    </w:rPr>
                    <w:t>a</w:t>
                  </w:r>
                  <w:r w:rsidRPr="00043C7A">
                    <w:rPr>
                      <w:rFonts w:ascii="Arial" w:hAnsi="Arial" w:cs="Arial"/>
                    </w:rPr>
                    <w:t xml:space="preserve"> </w:t>
                  </w:r>
                  <w:r>
                    <w:rPr>
                      <w:rFonts w:ascii="Arial" w:hAnsi="Arial" w:cs="Arial"/>
                    </w:rPr>
                    <w:t xml:space="preserve">Cartera </w:t>
                  </w:r>
                  <w:r w:rsidRPr="00043C7A">
                    <w:rPr>
                      <w:rFonts w:ascii="Arial" w:hAnsi="Arial" w:cs="Arial"/>
                    </w:rPr>
                    <w:t>Ministeri</w:t>
                  </w:r>
                  <w:r>
                    <w:rPr>
                      <w:rFonts w:ascii="Arial" w:hAnsi="Arial" w:cs="Arial"/>
                    </w:rPr>
                    <w:t>al</w:t>
                  </w:r>
                  <w:r w:rsidRPr="00043C7A">
                    <w:rPr>
                      <w:rFonts w:ascii="Arial" w:hAnsi="Arial" w:cs="Arial"/>
                    </w:rPr>
                    <w:t>.</w:t>
                  </w:r>
                </w:p>
                <w:p w14:paraId="14DD5CB9" w14:textId="0B3AF443" w:rsidR="00043C7A" w:rsidRDefault="00043C7A" w:rsidP="00043C7A">
                  <w:pPr>
                    <w:spacing w:after="0" w:line="240" w:lineRule="auto"/>
                    <w:ind w:right="91"/>
                    <w:jc w:val="both"/>
                    <w:rPr>
                      <w:rFonts w:ascii="Arial" w:eastAsia="Arial" w:hAnsi="Arial" w:cs="Arial"/>
                    </w:rPr>
                  </w:pPr>
                </w:p>
                <w:p w14:paraId="0AEE2138" w14:textId="042FA342" w:rsidR="004E17D7" w:rsidRDefault="004E17D7" w:rsidP="008F20C4">
                  <w:pPr>
                    <w:spacing w:after="0" w:line="240" w:lineRule="auto"/>
                    <w:ind w:right="91"/>
                    <w:jc w:val="both"/>
                    <w:rPr>
                      <w:rFonts w:ascii="Arial" w:eastAsia="Arial" w:hAnsi="Arial" w:cs="Arial"/>
                    </w:rPr>
                  </w:pPr>
                  <w:r w:rsidRPr="008F20C4">
                    <w:rPr>
                      <w:rFonts w:ascii="Arial" w:eastAsia="Arial" w:hAnsi="Arial" w:cs="Arial"/>
                    </w:rPr>
                    <w:t xml:space="preserve">Posteriormente, </w:t>
                  </w:r>
                  <w:r w:rsidRPr="008F20C4">
                    <w:rPr>
                      <w:rFonts w:ascii="Arial" w:eastAsia="Arial" w:hAnsi="Arial" w:cs="Arial"/>
                    </w:rPr>
                    <w:t xml:space="preserve">mediante la Sentencia T-760 de 2008, la Corte Constitucional impartió </w:t>
                  </w:r>
                  <w:r w:rsidR="00E668E8">
                    <w:rPr>
                      <w:rFonts w:ascii="Arial" w:eastAsia="Arial" w:hAnsi="Arial" w:cs="Arial"/>
                    </w:rPr>
                    <w:t xml:space="preserve">varias </w:t>
                  </w:r>
                  <w:r w:rsidRPr="008F20C4">
                    <w:rPr>
                      <w:rFonts w:ascii="Arial" w:eastAsia="Arial" w:hAnsi="Arial" w:cs="Arial"/>
                    </w:rPr>
                    <w:t xml:space="preserve">órdenes, tendientes a superar las fallas evidenciadas en el SGSSS, de las que hace parte la contenida en </w:t>
                  </w:r>
                  <w:r w:rsidR="00975CAF">
                    <w:rPr>
                      <w:rFonts w:ascii="Arial" w:eastAsia="Arial" w:hAnsi="Arial" w:cs="Arial"/>
                    </w:rPr>
                    <w:t xml:space="preserve">el </w:t>
                  </w:r>
                  <w:r w:rsidRPr="008F20C4">
                    <w:rPr>
                      <w:rFonts w:ascii="Arial" w:eastAsia="Arial" w:hAnsi="Arial" w:cs="Arial"/>
                    </w:rPr>
                    <w:t xml:space="preserve">numeral 19, </w:t>
                  </w:r>
                  <w:r w:rsidR="00D2526E">
                    <w:rPr>
                      <w:rFonts w:ascii="Arial" w:eastAsia="Arial" w:hAnsi="Arial" w:cs="Arial"/>
                    </w:rPr>
                    <w:t>de acuerdo con el cual</w:t>
                  </w:r>
                  <w:r w:rsidRPr="008F20C4">
                    <w:rPr>
                      <w:rFonts w:ascii="Arial" w:eastAsia="Arial" w:hAnsi="Arial" w:cs="Arial"/>
                    </w:rPr>
                    <w:t>, este Ministerio como cabeza del sector Salud y Protección Social, debe adoptar medidas para garantizar que todas las entidades responsables del aseguramiento en salud de los Regímenes Contributivo y Subsidiado, remitan informes trimestrales respecto de los servicios y tecnologías de salud ordenadas por el médico tratante a sus usuarios, negadas por la entidad, denominado “registro de negaciones”.</w:t>
                  </w:r>
                </w:p>
                <w:p w14:paraId="38A6329A" w14:textId="77777777" w:rsidR="008F20C4" w:rsidRDefault="008F20C4" w:rsidP="008F20C4">
                  <w:pPr>
                    <w:spacing w:after="0" w:line="240" w:lineRule="auto"/>
                    <w:ind w:right="91"/>
                    <w:jc w:val="both"/>
                    <w:rPr>
                      <w:rFonts w:ascii="Arial" w:eastAsia="Arial" w:hAnsi="Arial" w:cs="Arial"/>
                    </w:rPr>
                  </w:pPr>
                </w:p>
                <w:p w14:paraId="63ED9160" w14:textId="32C49189" w:rsidR="00F01A14" w:rsidRDefault="00F01A14" w:rsidP="00F01A14">
                  <w:pPr>
                    <w:spacing w:after="0" w:line="240" w:lineRule="auto"/>
                    <w:ind w:right="91"/>
                    <w:jc w:val="both"/>
                    <w:rPr>
                      <w:rFonts w:ascii="Arial" w:eastAsia="Arial" w:hAnsi="Arial" w:cs="Arial"/>
                    </w:rPr>
                  </w:pPr>
                  <w:r>
                    <w:rPr>
                      <w:rFonts w:ascii="Arial" w:eastAsia="Arial" w:hAnsi="Arial" w:cs="Arial"/>
                    </w:rPr>
                    <w:t xml:space="preserve">Adicionalmente, </w:t>
                  </w:r>
                  <w:r w:rsidRPr="00F01A14">
                    <w:rPr>
                      <w:rFonts w:ascii="Arial" w:eastAsia="Arial" w:hAnsi="Arial" w:cs="Arial"/>
                    </w:rPr>
                    <w:t xml:space="preserve">conforme a lo dispuesto en el literal d) del artículo 5° de la Ley Estatutaria 1751 de 2015: </w:t>
                  </w:r>
                  <w:r w:rsidRPr="00F01A14">
                    <w:rPr>
                      <w:rFonts w:ascii="Arial" w:eastAsia="Arial" w:hAnsi="Arial" w:cs="Arial"/>
                      <w:i/>
                      <w:iCs/>
                    </w:rPr>
                    <w:t>“Por medio de la cual se regula el derecho fundamental a la salud y se dictan otras disposiciones”</w:t>
                  </w:r>
                  <w:r w:rsidRPr="00F01A14">
                    <w:rPr>
                      <w:rFonts w:ascii="Arial" w:eastAsia="Arial" w:hAnsi="Arial" w:cs="Arial"/>
                    </w:rPr>
                    <w:t>, el Estado es responsable de respetar, proteger y garantizar el goce efectivo del derecho fundamental a la salud, para lo cual deberá establecer mecanismos para evitar la violación del derecho fundamental a la salud y determinar su régimen sancionatorio</w:t>
                  </w:r>
                  <w:r w:rsidR="00AA4B53">
                    <w:rPr>
                      <w:rFonts w:ascii="Arial" w:eastAsia="Arial" w:hAnsi="Arial" w:cs="Arial"/>
                    </w:rPr>
                    <w:t>;</w:t>
                  </w:r>
                  <w:r w:rsidRPr="00F01A14">
                    <w:rPr>
                      <w:rFonts w:ascii="Arial" w:eastAsia="Arial" w:hAnsi="Arial" w:cs="Arial"/>
                    </w:rPr>
                    <w:t xml:space="preserve"> </w:t>
                  </w:r>
                  <w:r w:rsidR="00AA4B53">
                    <w:rPr>
                      <w:rFonts w:ascii="Arial" w:eastAsia="Arial" w:hAnsi="Arial" w:cs="Arial"/>
                    </w:rPr>
                    <w:t xml:space="preserve">para tal propósito, </w:t>
                  </w:r>
                  <w:r w:rsidRPr="00F01A14">
                    <w:rPr>
                      <w:rFonts w:ascii="Arial" w:eastAsia="Arial" w:hAnsi="Arial" w:cs="Arial"/>
                    </w:rPr>
                    <w:t>esta disposición normativa implica la implementación de un marco regulatorio sólido que garantice la protección integral de este derecho.</w:t>
                  </w:r>
                </w:p>
                <w:p w14:paraId="5B3FEA58" w14:textId="77777777" w:rsidR="002803DF" w:rsidRDefault="002803DF" w:rsidP="00F01A14">
                  <w:pPr>
                    <w:spacing w:after="0" w:line="240" w:lineRule="auto"/>
                    <w:ind w:right="91"/>
                    <w:jc w:val="both"/>
                    <w:rPr>
                      <w:rFonts w:ascii="Arial" w:eastAsia="Arial" w:hAnsi="Arial" w:cs="Arial"/>
                    </w:rPr>
                  </w:pPr>
                </w:p>
                <w:p w14:paraId="0532EB7B" w14:textId="54511CC8" w:rsidR="00D8173F" w:rsidRDefault="00CF1170" w:rsidP="00E66D67">
                  <w:pPr>
                    <w:spacing w:after="0" w:line="240" w:lineRule="auto"/>
                    <w:ind w:right="91"/>
                    <w:jc w:val="both"/>
                    <w:rPr>
                      <w:rFonts w:ascii="Arial" w:eastAsia="Arial" w:hAnsi="Arial" w:cs="Arial"/>
                    </w:rPr>
                  </w:pPr>
                  <w:r w:rsidRPr="00E66D67">
                    <w:rPr>
                      <w:rFonts w:ascii="Arial" w:eastAsia="Arial" w:hAnsi="Arial" w:cs="Arial"/>
                    </w:rPr>
                    <w:t>Igualmente</w:t>
                  </w:r>
                  <w:r w:rsidR="00D8173F" w:rsidRPr="00E66D67">
                    <w:rPr>
                      <w:rFonts w:ascii="Arial" w:eastAsia="Arial" w:hAnsi="Arial" w:cs="Arial"/>
                    </w:rPr>
                    <w:t xml:space="preserve">, </w:t>
                  </w:r>
                  <w:r w:rsidR="00D8173F" w:rsidRPr="00E66D67">
                    <w:rPr>
                      <w:rFonts w:ascii="Arial" w:eastAsia="Arial" w:hAnsi="Arial" w:cs="Arial"/>
                    </w:rPr>
                    <w:t xml:space="preserve">el artículo 14 </w:t>
                  </w:r>
                  <w:r w:rsidR="00D8173F" w:rsidRPr="00E66D67">
                    <w:rPr>
                      <w:rFonts w:ascii="Arial" w:eastAsia="Arial" w:hAnsi="Arial" w:cs="Arial"/>
                      <w:i/>
                      <w:iCs/>
                    </w:rPr>
                    <w:t>ibidem</w:t>
                  </w:r>
                  <w:r w:rsidR="00D8173F" w:rsidRPr="00E66D67">
                    <w:rPr>
                      <w:rFonts w:ascii="Arial" w:eastAsia="Arial" w:hAnsi="Arial" w:cs="Arial"/>
                    </w:rPr>
                    <w:t xml:space="preserve">, prohíbe </w:t>
                  </w:r>
                  <w:r w:rsidR="00D8173F" w:rsidRPr="00E66D67">
                    <w:rPr>
                      <w:rFonts w:ascii="Arial" w:eastAsia="Arial" w:hAnsi="Arial" w:cs="Arial"/>
                    </w:rPr>
                    <w:t xml:space="preserve">de manera </w:t>
                  </w:r>
                  <w:r w:rsidR="00D8173F" w:rsidRPr="00E66D67">
                    <w:rPr>
                      <w:rFonts w:ascii="Arial" w:eastAsia="Arial" w:hAnsi="Arial" w:cs="Arial"/>
                    </w:rPr>
                    <w:t>expresa</w:t>
                  </w:r>
                  <w:r w:rsidR="00D8173F" w:rsidRPr="00E66D67">
                    <w:rPr>
                      <w:rFonts w:ascii="Arial" w:eastAsia="Arial" w:hAnsi="Arial" w:cs="Arial"/>
                    </w:rPr>
                    <w:t xml:space="preserve"> </w:t>
                  </w:r>
                  <w:r w:rsidR="00D8173F" w:rsidRPr="00E66D67">
                    <w:rPr>
                      <w:rFonts w:ascii="Arial" w:eastAsia="Arial" w:hAnsi="Arial" w:cs="Arial"/>
                    </w:rPr>
                    <w:t>la negación de prestación de servicios de salud, para lo cual el Gobierno Nacional deberá definir los mecanismos idóneos para controlar el uso adecuado y racional de dichos servicios y tecnologías en salud y el artículo 15</w:t>
                  </w:r>
                  <w:r w:rsidR="00E66D67" w:rsidRPr="00E66D67">
                    <w:rPr>
                      <w:rFonts w:ascii="Arial" w:eastAsia="Arial" w:hAnsi="Arial" w:cs="Arial"/>
                    </w:rPr>
                    <w:t xml:space="preserve"> de esa misma norma</w:t>
                  </w:r>
                  <w:r w:rsidR="00D8173F" w:rsidRPr="00E66D67">
                    <w:rPr>
                      <w:rFonts w:ascii="Arial" w:eastAsia="Arial" w:hAnsi="Arial" w:cs="Arial"/>
                    </w:rPr>
                    <w:t xml:space="preserve"> define las exclusiones de servicios y tecnologías en salud a financiar con recursos públicos asignados a la salud.</w:t>
                  </w:r>
                </w:p>
                <w:p w14:paraId="74572DA9" w14:textId="77777777" w:rsidR="00E66D67" w:rsidRDefault="00E66D67" w:rsidP="00E66D67">
                  <w:pPr>
                    <w:spacing w:after="0" w:line="240" w:lineRule="auto"/>
                    <w:ind w:right="91"/>
                    <w:jc w:val="both"/>
                    <w:rPr>
                      <w:rFonts w:ascii="Arial" w:eastAsia="Arial" w:hAnsi="Arial" w:cs="Arial"/>
                    </w:rPr>
                  </w:pPr>
                </w:p>
                <w:p w14:paraId="361BBB92" w14:textId="336BDD85" w:rsidR="00EB6D62" w:rsidRDefault="00EB6D62" w:rsidP="002A6184">
                  <w:pPr>
                    <w:spacing w:after="0" w:line="240" w:lineRule="auto"/>
                    <w:ind w:right="91"/>
                    <w:jc w:val="both"/>
                    <w:rPr>
                      <w:rFonts w:ascii="Arial" w:eastAsia="Arial" w:hAnsi="Arial" w:cs="Arial"/>
                    </w:rPr>
                  </w:pPr>
                  <w:r w:rsidRPr="002A6184">
                    <w:rPr>
                      <w:rFonts w:ascii="Arial" w:eastAsia="Arial" w:hAnsi="Arial" w:cs="Arial"/>
                    </w:rPr>
                    <w:t>Ahora bien</w:t>
                  </w:r>
                  <w:r w:rsidRPr="002A6184">
                    <w:rPr>
                      <w:rFonts w:ascii="Arial" w:eastAsia="Arial" w:hAnsi="Arial" w:cs="Arial"/>
                    </w:rPr>
                    <w:t xml:space="preserve">, en aras de garantizar la efectiva protección del derecho fundamental a la salud y en concordancia con lo dispuesto en el Auto 411 de 2015 de la Corte Constitucional, de seguimiento a la orden 19 de la Sentencia T-760 de 2008, </w:t>
                  </w:r>
                  <w:r w:rsidRPr="002A6184">
                    <w:rPr>
                      <w:rFonts w:ascii="Arial" w:eastAsia="Arial" w:hAnsi="Arial" w:cs="Arial"/>
                    </w:rPr>
                    <w:t xml:space="preserve">es preciso </w:t>
                  </w:r>
                  <w:r w:rsidRPr="002A6184">
                    <w:rPr>
                      <w:rFonts w:ascii="Arial" w:eastAsia="Arial" w:hAnsi="Arial" w:cs="Arial"/>
                    </w:rPr>
                    <w:t>implementar un mecanismo de alertas tempranas que notifique a las autoridades competentes (Superintendencia Nacional de Salud, Contraloría General de la República y Fiscalía General de la Nación), sobre la negación de servicios incluidos en el actual Plan de Beneficios en Salud (PBS), facilitando así su oportuna intervención y la determinación de las responsabilidades a que hubiere lugar.</w:t>
                  </w:r>
                </w:p>
                <w:p w14:paraId="2AFB252A" w14:textId="77777777" w:rsidR="00206AFC" w:rsidRDefault="00206AFC" w:rsidP="002A6184">
                  <w:pPr>
                    <w:spacing w:after="0" w:line="240" w:lineRule="auto"/>
                    <w:ind w:right="91"/>
                    <w:jc w:val="both"/>
                    <w:rPr>
                      <w:rFonts w:ascii="Arial" w:eastAsia="Arial" w:hAnsi="Arial" w:cs="Arial"/>
                    </w:rPr>
                  </w:pPr>
                </w:p>
                <w:p w14:paraId="0C2F5854" w14:textId="6C6F9761" w:rsidR="00206AFC" w:rsidRDefault="00206AFC" w:rsidP="002A6184">
                  <w:pPr>
                    <w:spacing w:after="0" w:line="240" w:lineRule="auto"/>
                    <w:ind w:right="91"/>
                    <w:jc w:val="both"/>
                    <w:rPr>
                      <w:rFonts w:ascii="Arial" w:eastAsia="Arial" w:hAnsi="Arial" w:cs="Arial"/>
                    </w:rPr>
                  </w:pPr>
                  <w:r w:rsidRPr="00281529">
                    <w:rPr>
                      <w:rFonts w:ascii="Arial" w:eastAsia="Arial" w:hAnsi="Arial" w:cs="Arial"/>
                    </w:rPr>
                    <w:t>Posteriormente</w:t>
                  </w:r>
                  <w:r w:rsidRPr="00281529">
                    <w:rPr>
                      <w:rFonts w:ascii="Arial" w:eastAsia="Arial" w:hAnsi="Arial" w:cs="Arial"/>
                    </w:rPr>
                    <w:t xml:space="preserve">, mediante Auto 122 de 2019, de seguimiento a </w:t>
                  </w:r>
                  <w:r w:rsidRPr="00281529">
                    <w:rPr>
                      <w:rFonts w:ascii="Arial" w:eastAsia="Arial" w:hAnsi="Arial" w:cs="Arial"/>
                    </w:rPr>
                    <w:t xml:space="preserve">esa </w:t>
                  </w:r>
                  <w:r w:rsidRPr="00281529">
                    <w:rPr>
                      <w:rFonts w:ascii="Arial" w:eastAsia="Arial" w:hAnsi="Arial" w:cs="Arial"/>
                    </w:rPr>
                    <w:t xml:space="preserve">misma orden, </w:t>
                  </w:r>
                  <w:r w:rsidRPr="00281529">
                    <w:rPr>
                      <w:rFonts w:ascii="Arial" w:eastAsia="Arial" w:hAnsi="Arial" w:cs="Arial"/>
                    </w:rPr>
                    <w:t xml:space="preserve">el referido tribunal </w:t>
                  </w:r>
                  <w:r w:rsidRPr="00281529">
                    <w:rPr>
                      <w:rFonts w:ascii="Arial" w:eastAsia="Arial" w:hAnsi="Arial" w:cs="Arial"/>
                    </w:rPr>
                    <w:t>exhortó a est</w:t>
                  </w:r>
                  <w:r w:rsidR="00281529" w:rsidRPr="00281529">
                    <w:rPr>
                      <w:rFonts w:ascii="Arial" w:eastAsia="Arial" w:hAnsi="Arial" w:cs="Arial"/>
                    </w:rPr>
                    <w:t>a</w:t>
                  </w:r>
                  <w:r w:rsidRPr="00281529">
                    <w:rPr>
                      <w:rFonts w:ascii="Arial" w:eastAsia="Arial" w:hAnsi="Arial" w:cs="Arial"/>
                    </w:rPr>
                    <w:t xml:space="preserve"> </w:t>
                  </w:r>
                  <w:r w:rsidR="00281529" w:rsidRPr="00281529">
                    <w:rPr>
                      <w:rFonts w:ascii="Arial" w:eastAsia="Arial" w:hAnsi="Arial" w:cs="Arial"/>
                    </w:rPr>
                    <w:t xml:space="preserve">Cartera </w:t>
                  </w:r>
                  <w:r w:rsidRPr="00281529">
                    <w:rPr>
                      <w:rFonts w:ascii="Arial" w:eastAsia="Arial" w:hAnsi="Arial" w:cs="Arial"/>
                    </w:rPr>
                    <w:t>Ministeri</w:t>
                  </w:r>
                  <w:r w:rsidR="00281529" w:rsidRPr="00281529">
                    <w:rPr>
                      <w:rFonts w:ascii="Arial" w:eastAsia="Arial" w:hAnsi="Arial" w:cs="Arial"/>
                    </w:rPr>
                    <w:t>al</w:t>
                  </w:r>
                  <w:r w:rsidRPr="00281529">
                    <w:rPr>
                      <w:rFonts w:ascii="Arial" w:eastAsia="Arial" w:hAnsi="Arial" w:cs="Arial"/>
                    </w:rPr>
                    <w:t xml:space="preserve"> a expedir una nueva normativa que regule el registro de negaciones en los Regímenes Contributivo y Subsidiado, abarcando no solamente los servicios negados, sino también aquellos autorizados, pero no suministrados oportunamente</w:t>
                  </w:r>
                  <w:r w:rsidR="00281529" w:rsidRPr="00281529">
                    <w:rPr>
                      <w:rFonts w:ascii="Arial" w:eastAsia="Arial" w:hAnsi="Arial" w:cs="Arial"/>
                    </w:rPr>
                    <w:t>.</w:t>
                  </w:r>
                </w:p>
                <w:p w14:paraId="64552F34" w14:textId="77777777" w:rsidR="00B87DE0" w:rsidRDefault="00B87DE0" w:rsidP="002A6184">
                  <w:pPr>
                    <w:spacing w:after="0" w:line="240" w:lineRule="auto"/>
                    <w:ind w:right="91"/>
                    <w:jc w:val="both"/>
                    <w:rPr>
                      <w:rFonts w:ascii="Arial" w:eastAsia="Arial" w:hAnsi="Arial" w:cs="Arial"/>
                    </w:rPr>
                  </w:pPr>
                </w:p>
                <w:p w14:paraId="19F4636B" w14:textId="19E799B9" w:rsidR="00B87DE0" w:rsidRDefault="00B87DE0" w:rsidP="00B87DE0">
                  <w:pPr>
                    <w:spacing w:after="0" w:line="240" w:lineRule="auto"/>
                    <w:ind w:right="91"/>
                    <w:jc w:val="both"/>
                    <w:rPr>
                      <w:rFonts w:ascii="Arial" w:hAnsi="Arial" w:cs="Arial"/>
                    </w:rPr>
                  </w:pPr>
                  <w:r w:rsidRPr="00B87DE0">
                    <w:rPr>
                      <w:rFonts w:ascii="Arial" w:eastAsia="Arial" w:hAnsi="Arial" w:cs="Arial"/>
                    </w:rPr>
                    <w:lastRenderedPageBreak/>
                    <w:t xml:space="preserve">Por su parte, </w:t>
                  </w:r>
                  <w:r w:rsidRPr="00B87DE0">
                    <w:rPr>
                      <w:rFonts w:ascii="Arial" w:eastAsia="Arial" w:hAnsi="Arial" w:cs="Arial"/>
                    </w:rPr>
                    <w:t xml:space="preserve">en lo referente a la medición del componente ordenado por la Corte Constitucional </w:t>
                  </w:r>
                  <w:r w:rsidR="004C1F21">
                    <w:rPr>
                      <w:rFonts w:ascii="Arial" w:eastAsia="Arial" w:hAnsi="Arial" w:cs="Arial"/>
                    </w:rPr>
                    <w:t xml:space="preserve">frente a </w:t>
                  </w:r>
                  <w:r w:rsidRPr="00B87DE0">
                    <w:rPr>
                      <w:rFonts w:ascii="Arial" w:eastAsia="Arial" w:hAnsi="Arial" w:cs="Arial"/>
                    </w:rPr>
                    <w:t>servicios y tecnologías que pese a autorizarse, no se entregan oportunamente, este Ministerio, de acuerdo con lo previsto por el artículo 227 de la Ley 100 de 1993, en consonancia con los artículos 107 y 108 de la Ley 1438 de 2011, desarrolló mediante la Resolución 256 de 2016, el Sistema de Información para la Calidad, en cuyo marco estableció indicadores que dan cuenta del desempeño y resultados de los agentes del SGSSS</w:t>
                  </w:r>
                  <w:r w:rsidR="001004B9">
                    <w:rPr>
                      <w:rFonts w:ascii="Arial" w:eastAsia="Arial" w:hAnsi="Arial" w:cs="Arial"/>
                    </w:rPr>
                    <w:t>;</w:t>
                  </w:r>
                  <w:r w:rsidRPr="00B87DE0">
                    <w:rPr>
                      <w:rFonts w:ascii="Arial" w:eastAsia="Arial" w:hAnsi="Arial" w:cs="Arial"/>
                    </w:rPr>
                    <w:t xml:space="preserve"> </w:t>
                  </w:r>
                  <w:r w:rsidR="001004B9">
                    <w:rPr>
                      <w:rFonts w:ascii="Arial" w:eastAsia="Arial" w:hAnsi="Arial" w:cs="Arial"/>
                    </w:rPr>
                    <w:t>a</w:t>
                  </w:r>
                  <w:r w:rsidR="000252B7">
                    <w:rPr>
                      <w:rFonts w:ascii="Arial" w:eastAsia="Arial" w:hAnsi="Arial" w:cs="Arial"/>
                    </w:rPr>
                    <w:t xml:space="preserve"> su vez</w:t>
                  </w:r>
                  <w:r w:rsidRPr="00B87DE0">
                    <w:rPr>
                      <w:rFonts w:ascii="Arial" w:eastAsia="Arial" w:hAnsi="Arial" w:cs="Arial"/>
                    </w:rPr>
                    <w:t xml:space="preserve">, el artículo 114 de la Ley 1438 de 2011 alude a la obligación que tienen los participantes del </w:t>
                  </w:r>
                  <w:r w:rsidR="004C7223">
                    <w:rPr>
                      <w:rFonts w:ascii="Arial" w:eastAsia="Arial" w:hAnsi="Arial" w:cs="Arial"/>
                    </w:rPr>
                    <w:t xml:space="preserve">sistema </w:t>
                  </w:r>
                  <w:r w:rsidRPr="00B87DE0">
                    <w:rPr>
                      <w:rFonts w:ascii="Arial" w:eastAsia="Arial" w:hAnsi="Arial" w:cs="Arial"/>
                    </w:rPr>
                    <w:t xml:space="preserve">de </w:t>
                  </w:r>
                  <w:r w:rsidRPr="00B87DE0">
                    <w:rPr>
                      <w:rFonts w:ascii="Arial" w:hAnsi="Arial" w:cs="Arial"/>
                    </w:rPr>
                    <w:t>proveer la información solicitada de forma confiable, oportuna y clara.</w:t>
                  </w:r>
                </w:p>
                <w:p w14:paraId="41837F6F" w14:textId="77777777" w:rsidR="00FD74D7" w:rsidRDefault="00FD74D7" w:rsidP="00B87DE0">
                  <w:pPr>
                    <w:spacing w:after="0" w:line="240" w:lineRule="auto"/>
                    <w:ind w:right="91"/>
                    <w:jc w:val="both"/>
                    <w:rPr>
                      <w:rFonts w:ascii="Arial" w:hAnsi="Arial" w:cs="Arial"/>
                    </w:rPr>
                  </w:pPr>
                </w:p>
                <w:p w14:paraId="506DA513" w14:textId="4F2F1F0E" w:rsidR="00FD74D7" w:rsidRDefault="00FD74D7" w:rsidP="00FD74D7">
                  <w:pPr>
                    <w:spacing w:after="0" w:line="240" w:lineRule="auto"/>
                    <w:ind w:right="91"/>
                    <w:jc w:val="both"/>
                    <w:rPr>
                      <w:rFonts w:ascii="Arial" w:eastAsia="Arial" w:hAnsi="Arial" w:cs="Arial"/>
                    </w:rPr>
                  </w:pPr>
                  <w:r w:rsidRPr="00FD74D7">
                    <w:rPr>
                      <w:rFonts w:ascii="Arial" w:eastAsia="Arial" w:hAnsi="Arial" w:cs="Arial"/>
                    </w:rPr>
                    <w:t>Para los fines pertinentes</w:t>
                  </w:r>
                  <w:r w:rsidR="00F92FE2">
                    <w:rPr>
                      <w:rFonts w:ascii="Arial" w:eastAsia="Arial" w:hAnsi="Arial" w:cs="Arial"/>
                    </w:rPr>
                    <w:t>,</w:t>
                  </w:r>
                  <w:r w:rsidRPr="00FD74D7">
                    <w:rPr>
                      <w:rFonts w:ascii="Arial" w:eastAsia="Arial" w:hAnsi="Arial" w:cs="Arial"/>
                    </w:rPr>
                    <w:t xml:space="preserve"> </w:t>
                  </w:r>
                  <w:r w:rsidRPr="00FD74D7">
                    <w:rPr>
                      <w:rFonts w:ascii="Arial" w:eastAsia="Arial" w:hAnsi="Arial" w:cs="Arial"/>
                    </w:rPr>
                    <w:t>en aras de garantizar la efectiva protección del derecho fundamental a la salud, y en concordancia con lo dispuesto en el Auto 093A de 2020 de la Corte Constitucional, de seguimiento a la referida orden 19</w:t>
                  </w:r>
                  <w:r w:rsidR="00F92FE2">
                    <w:rPr>
                      <w:rFonts w:ascii="Arial" w:eastAsia="Arial" w:hAnsi="Arial" w:cs="Arial"/>
                    </w:rPr>
                    <w:t xml:space="preserve"> de la Sentencia T-760 de 2008</w:t>
                  </w:r>
                  <w:r w:rsidRPr="00FD74D7">
                    <w:rPr>
                      <w:rFonts w:ascii="Arial" w:eastAsia="Arial" w:hAnsi="Arial" w:cs="Arial"/>
                    </w:rPr>
                    <w:t>, se hace necesario iniciar el trámite respectivo para obtener la devolución de los dineros correspondientes a la prima pagada por usuario UPC durante el mes en que haya sufrido la barrera en la prestación de servicios.</w:t>
                  </w:r>
                </w:p>
                <w:p w14:paraId="379766B6" w14:textId="77777777" w:rsidR="00D36227" w:rsidRDefault="00D36227" w:rsidP="00FD74D7">
                  <w:pPr>
                    <w:spacing w:after="0" w:line="240" w:lineRule="auto"/>
                    <w:ind w:right="91"/>
                    <w:jc w:val="both"/>
                    <w:rPr>
                      <w:rFonts w:ascii="Arial" w:eastAsia="Arial" w:hAnsi="Arial" w:cs="Arial"/>
                    </w:rPr>
                  </w:pPr>
                </w:p>
                <w:p w14:paraId="58D9F7AA" w14:textId="1C3DA0A4" w:rsidR="00D36227" w:rsidRDefault="00D36227" w:rsidP="003857F5">
                  <w:pPr>
                    <w:spacing w:after="0" w:line="240" w:lineRule="auto"/>
                    <w:ind w:right="91"/>
                    <w:jc w:val="both"/>
                    <w:rPr>
                      <w:rFonts w:ascii="Arial" w:eastAsia="Arial" w:hAnsi="Arial" w:cs="Arial"/>
                    </w:rPr>
                  </w:pPr>
                  <w:r w:rsidRPr="003857F5">
                    <w:rPr>
                      <w:rFonts w:ascii="Arial" w:eastAsia="Arial" w:hAnsi="Arial" w:cs="Arial"/>
                    </w:rPr>
                    <w:t xml:space="preserve">Igualmente, </w:t>
                  </w:r>
                  <w:r w:rsidRPr="003857F5">
                    <w:rPr>
                      <w:rFonts w:ascii="Arial" w:eastAsia="Arial" w:hAnsi="Arial" w:cs="Arial"/>
                    </w:rPr>
                    <w:t xml:space="preserve">en cumplimiento de los autos de seguimiento </w:t>
                  </w:r>
                  <w:r w:rsidR="00711767" w:rsidRPr="003857F5">
                    <w:rPr>
                      <w:rFonts w:ascii="Arial" w:eastAsia="Arial" w:hAnsi="Arial" w:cs="Arial"/>
                    </w:rPr>
                    <w:t>ya mencionados</w:t>
                  </w:r>
                  <w:r w:rsidR="00711767" w:rsidRPr="003857F5">
                    <w:rPr>
                      <w:rFonts w:ascii="Arial" w:eastAsia="Arial" w:hAnsi="Arial" w:cs="Arial"/>
                    </w:rPr>
                    <w:t xml:space="preserve"> de la referida orden</w:t>
                  </w:r>
                  <w:r w:rsidRPr="003857F5">
                    <w:rPr>
                      <w:rFonts w:ascii="Arial" w:eastAsia="Arial" w:hAnsi="Arial" w:cs="Arial"/>
                    </w:rPr>
                    <w:t xml:space="preserve">, esta Cartera Ministerial </w:t>
                  </w:r>
                  <w:r w:rsidR="00711767" w:rsidRPr="003857F5">
                    <w:rPr>
                      <w:rFonts w:ascii="Arial" w:eastAsia="Arial" w:hAnsi="Arial" w:cs="Arial"/>
                    </w:rPr>
                    <w:t xml:space="preserve">profirió </w:t>
                  </w:r>
                  <w:r w:rsidRPr="003857F5">
                    <w:rPr>
                      <w:rFonts w:ascii="Arial" w:eastAsia="Arial" w:hAnsi="Arial" w:cs="Arial"/>
                    </w:rPr>
                    <w:t xml:space="preserve">la Resolución 3539 de 2019: </w:t>
                  </w:r>
                  <w:r w:rsidRPr="003857F5">
                    <w:rPr>
                      <w:rFonts w:ascii="Arial" w:eastAsia="Arial" w:hAnsi="Arial" w:cs="Arial"/>
                      <w:i/>
                      <w:iCs/>
                    </w:rPr>
                    <w:t>“Por la cual se adopta el instrumento para que las entidades responsables del aseguramiento en salud de los Regímenes Contributivo y Subsidiado, reporten los servicios y tecnologías en salud ordenados por el médico tratante, que sean negados y se modifica la Resolución 256 de 2016”</w:t>
                  </w:r>
                  <w:r w:rsidRPr="003857F5">
                    <w:rPr>
                      <w:rFonts w:ascii="Arial" w:eastAsia="Arial" w:hAnsi="Arial" w:cs="Arial"/>
                    </w:rPr>
                    <w:t xml:space="preserve"> y la Resolución 1716 de 2019: </w:t>
                  </w:r>
                  <w:r w:rsidRPr="003857F5">
                    <w:rPr>
                      <w:rFonts w:ascii="Arial" w:eastAsia="Arial" w:hAnsi="Arial" w:cs="Arial"/>
                      <w:i/>
                      <w:iCs/>
                    </w:rPr>
                    <w:t>“Por la cual se establece el procedimiento de reintegro de los recursos del Sistema General de Seguridad Social en Salud, apropiados o reconocidos sin justa causa”</w:t>
                  </w:r>
                  <w:r w:rsidRPr="003857F5">
                    <w:rPr>
                      <w:rFonts w:ascii="Arial" w:eastAsia="Arial" w:hAnsi="Arial" w:cs="Arial"/>
                    </w:rPr>
                    <w:t>.</w:t>
                  </w:r>
                </w:p>
                <w:p w14:paraId="5BE86AD5" w14:textId="77777777" w:rsidR="003857F5" w:rsidRDefault="003857F5" w:rsidP="003857F5">
                  <w:pPr>
                    <w:spacing w:after="0" w:line="240" w:lineRule="auto"/>
                    <w:ind w:right="91"/>
                    <w:jc w:val="both"/>
                    <w:rPr>
                      <w:rFonts w:ascii="Arial" w:eastAsia="Arial" w:hAnsi="Arial" w:cs="Arial"/>
                    </w:rPr>
                  </w:pPr>
                </w:p>
                <w:p w14:paraId="6B051203" w14:textId="6D4517C6" w:rsidR="00CF5E16" w:rsidRDefault="00CF5E16" w:rsidP="00F16522">
                  <w:pPr>
                    <w:spacing w:after="0" w:line="240" w:lineRule="auto"/>
                    <w:ind w:right="91"/>
                    <w:jc w:val="both"/>
                    <w:rPr>
                      <w:rFonts w:ascii="Arial" w:eastAsia="Arial" w:hAnsi="Arial" w:cs="Arial"/>
                    </w:rPr>
                  </w:pPr>
                  <w:r w:rsidRPr="00F16522">
                    <w:rPr>
                      <w:rFonts w:ascii="Arial" w:eastAsia="Arial" w:hAnsi="Arial" w:cs="Arial"/>
                    </w:rPr>
                    <w:t xml:space="preserve">A su vez, </w:t>
                  </w:r>
                  <w:r w:rsidRPr="00F16522">
                    <w:rPr>
                      <w:rFonts w:ascii="Arial" w:eastAsia="Arial" w:hAnsi="Arial" w:cs="Arial"/>
                    </w:rPr>
                    <w:t xml:space="preserve">el Auto 439 de 2021, </w:t>
                  </w:r>
                  <w:r w:rsidRPr="00F16522">
                    <w:rPr>
                      <w:rFonts w:ascii="Arial" w:eastAsia="Arial" w:hAnsi="Arial" w:cs="Arial"/>
                    </w:rPr>
                    <w:t xml:space="preserve">que </w:t>
                  </w:r>
                  <w:r w:rsidRPr="00F16522">
                    <w:rPr>
                      <w:rFonts w:ascii="Arial" w:eastAsia="Arial" w:hAnsi="Arial" w:cs="Arial"/>
                    </w:rPr>
                    <w:t xml:space="preserve">también </w:t>
                  </w:r>
                  <w:r w:rsidRPr="00F16522">
                    <w:rPr>
                      <w:rFonts w:ascii="Arial" w:eastAsia="Arial" w:hAnsi="Arial" w:cs="Arial"/>
                    </w:rPr>
                    <w:t xml:space="preserve">es </w:t>
                  </w:r>
                  <w:r w:rsidRPr="00F16522">
                    <w:rPr>
                      <w:rFonts w:ascii="Arial" w:eastAsia="Arial" w:hAnsi="Arial" w:cs="Arial"/>
                    </w:rPr>
                    <w:t>de seguimiento a la orden 19 de la Sentencia T-760 de 2008, reiteró la necesidad de dar cumplimiento a lo requerido previamente por la Corte Constitucional, incluyendo la adopción de medidas para disminuir las negaciones y dilaciones injustificadas, la generación de información sobre servicios autorizados no suministrados oportunamente y la implementación de un mecanismo de alarmas ante la negación de servicios incluidos en el Plan de Beneficios en Salud.</w:t>
                  </w:r>
                </w:p>
                <w:p w14:paraId="1E61B12F" w14:textId="77777777" w:rsidR="005B29E4" w:rsidRDefault="005B29E4" w:rsidP="00F16522">
                  <w:pPr>
                    <w:spacing w:after="0" w:line="240" w:lineRule="auto"/>
                    <w:ind w:right="91"/>
                    <w:jc w:val="both"/>
                    <w:rPr>
                      <w:rFonts w:ascii="Arial" w:eastAsia="Arial" w:hAnsi="Arial" w:cs="Arial"/>
                    </w:rPr>
                  </w:pPr>
                </w:p>
                <w:p w14:paraId="670F616E" w14:textId="7EA3D781" w:rsidR="005B29E4" w:rsidRDefault="005B29E4" w:rsidP="005B29E4">
                  <w:pPr>
                    <w:spacing w:after="0" w:line="240" w:lineRule="auto"/>
                    <w:ind w:right="91"/>
                    <w:jc w:val="both"/>
                    <w:rPr>
                      <w:rFonts w:ascii="Arial" w:eastAsia="Arial" w:hAnsi="Arial" w:cs="Arial"/>
                    </w:rPr>
                  </w:pPr>
                  <w:r w:rsidRPr="005B29E4">
                    <w:rPr>
                      <w:rFonts w:ascii="Arial" w:eastAsia="Arial" w:hAnsi="Arial" w:cs="Arial"/>
                    </w:rPr>
                    <w:t>Por su parte</w:t>
                  </w:r>
                  <w:r w:rsidRPr="005B29E4">
                    <w:rPr>
                      <w:rFonts w:ascii="Arial" w:eastAsia="Arial" w:hAnsi="Arial" w:cs="Arial"/>
                    </w:rPr>
                    <w:t xml:space="preserve">, en el marco de una política pública orientada a la prevención de enfermedades y la protección de los derechos de los usuarios, y en consonancia con los objetivos de la Ley 2294 de 2023: </w:t>
                  </w:r>
                  <w:r w:rsidRPr="005B29E4">
                    <w:rPr>
                      <w:rFonts w:ascii="Arial" w:eastAsia="Arial" w:hAnsi="Arial" w:cs="Arial"/>
                      <w:i/>
                      <w:iCs/>
                    </w:rPr>
                    <w:t>«Por la cual se expide el Plan Nacional de Desarrollo 2022-2026 “Colombia Potencia Mundial de la Vida”»</w:t>
                  </w:r>
                  <w:r w:rsidRPr="005B29E4">
                    <w:rPr>
                      <w:rFonts w:ascii="Arial" w:eastAsia="Arial" w:hAnsi="Arial" w:cs="Arial"/>
                    </w:rPr>
                    <w:t>, resulta indispensable fortalecer los mecanismos de supervisión y control que permitan identificar y detectar las negaciones injustificadas de servicios, promoviendo así una cultura de calidad y eficiencia en la prestación de servicios de salud.</w:t>
                  </w:r>
                </w:p>
                <w:p w14:paraId="61BA76A9" w14:textId="77777777" w:rsidR="009E06C8" w:rsidRDefault="009E06C8" w:rsidP="005B29E4">
                  <w:pPr>
                    <w:spacing w:after="0" w:line="240" w:lineRule="auto"/>
                    <w:ind w:right="91"/>
                    <w:jc w:val="both"/>
                    <w:rPr>
                      <w:rFonts w:ascii="Arial" w:eastAsia="Arial" w:hAnsi="Arial" w:cs="Arial"/>
                    </w:rPr>
                  </w:pPr>
                </w:p>
                <w:p w14:paraId="6F467B40" w14:textId="2DA1FA67" w:rsidR="009E06C8" w:rsidRDefault="009E06C8" w:rsidP="00E90C41">
                  <w:pPr>
                    <w:spacing w:after="0" w:line="240" w:lineRule="auto"/>
                    <w:ind w:right="91"/>
                    <w:jc w:val="both"/>
                    <w:rPr>
                      <w:rFonts w:ascii="Arial" w:eastAsia="Arial" w:hAnsi="Arial" w:cs="Arial"/>
                    </w:rPr>
                  </w:pPr>
                  <w:r w:rsidRPr="00E90C41">
                    <w:rPr>
                      <w:rFonts w:ascii="Arial" w:eastAsia="Arial" w:hAnsi="Arial" w:cs="Arial"/>
                    </w:rPr>
                    <w:t xml:space="preserve">Ahora bien, </w:t>
                  </w:r>
                  <w:r w:rsidR="002D0E43" w:rsidRPr="00E90C41">
                    <w:rPr>
                      <w:rFonts w:ascii="Arial" w:eastAsia="Arial" w:hAnsi="Arial" w:cs="Arial"/>
                    </w:rPr>
                    <w:t>de acuerdo con lo requerido por la Corte Constitucional</w:t>
                  </w:r>
                  <w:r w:rsidR="002D0E43" w:rsidRPr="00E90C41">
                    <w:rPr>
                      <w:rFonts w:ascii="Arial" w:eastAsia="Arial" w:hAnsi="Arial" w:cs="Arial"/>
                    </w:rPr>
                    <w:t>,</w:t>
                  </w:r>
                  <w:r w:rsidR="002D0E43" w:rsidRPr="00E90C41">
                    <w:rPr>
                      <w:rFonts w:ascii="Arial" w:eastAsia="Arial" w:hAnsi="Arial" w:cs="Arial"/>
                    </w:rPr>
                    <w:t xml:space="preserve"> lo señalado en algunas de las normas mencionadas</w:t>
                  </w:r>
                  <w:r w:rsidR="002D0E43" w:rsidRPr="00E90C41">
                    <w:rPr>
                      <w:rFonts w:ascii="Arial" w:eastAsia="Arial" w:hAnsi="Arial" w:cs="Arial"/>
                    </w:rPr>
                    <w:t xml:space="preserve"> y</w:t>
                  </w:r>
                  <w:r w:rsidR="002D0E43" w:rsidRPr="00E90C41">
                    <w:rPr>
                      <w:rFonts w:ascii="Arial" w:eastAsia="Arial" w:hAnsi="Arial" w:cs="Arial"/>
                    </w:rPr>
                    <w:t xml:space="preserve"> </w:t>
                  </w:r>
                  <w:r w:rsidRPr="00E90C41">
                    <w:rPr>
                      <w:rFonts w:ascii="Arial" w:eastAsia="Arial" w:hAnsi="Arial" w:cs="Arial"/>
                    </w:rPr>
                    <w:t>con el objetivo de garantizar la protección de los derechos de los usuarios y asegurar el acceso oportuno y efectivo a servicios de salud de calidad, es necesario establecer fuentes de información que permitan identificar de manera precisa y oportuna las negaciones injustificadas de servicios y tecnologías en salud en los regímenes contributivo y subsidiado, analizar sus causas, diseñar estrategias para prevenirlas y facilitar la adopción de medidas correctivas y la mejora continua en la prestación de servicios de salud, al igual que se hace necesario establecer las fuentes de información para el procedimiento de reintegro de recursos apropiados o reconocidos sin justa causa.</w:t>
                  </w:r>
                </w:p>
                <w:p w14:paraId="35E4FE6F" w14:textId="77777777" w:rsidR="008F1FCC" w:rsidRDefault="008F1FCC" w:rsidP="00E90C41">
                  <w:pPr>
                    <w:spacing w:after="0" w:line="240" w:lineRule="auto"/>
                    <w:ind w:right="91"/>
                    <w:jc w:val="both"/>
                    <w:rPr>
                      <w:rFonts w:ascii="Arial" w:eastAsia="Arial" w:hAnsi="Arial" w:cs="Arial"/>
                    </w:rPr>
                  </w:pPr>
                </w:p>
                <w:p w14:paraId="70D15B75" w14:textId="3EF4B6E1" w:rsidR="008F1FCC" w:rsidRDefault="008F1FCC" w:rsidP="009C2072">
                  <w:pPr>
                    <w:spacing w:after="0" w:line="240" w:lineRule="auto"/>
                    <w:ind w:right="131"/>
                    <w:jc w:val="both"/>
                    <w:rPr>
                      <w:rFonts w:ascii="Arial" w:eastAsia="Arial" w:hAnsi="Arial" w:cs="Arial"/>
                    </w:rPr>
                  </w:pPr>
                  <w:r w:rsidRPr="00782EDE">
                    <w:rPr>
                      <w:rFonts w:ascii="Arial" w:eastAsia="Arial" w:hAnsi="Arial" w:cs="Arial"/>
                    </w:rPr>
                    <w:t xml:space="preserve">Para los fines pertinentes, </w:t>
                  </w:r>
                  <w:r w:rsidRPr="00782EDE">
                    <w:rPr>
                      <w:rFonts w:ascii="Arial" w:eastAsia="Arial" w:hAnsi="Arial" w:cs="Arial"/>
                    </w:rPr>
                    <w:t>el artículo 66 de la Ley 1753 de 2015 establec</w:t>
                  </w:r>
                  <w:r w:rsidRPr="00782EDE">
                    <w:rPr>
                      <w:rFonts w:ascii="Arial" w:eastAsia="Arial" w:hAnsi="Arial" w:cs="Arial"/>
                    </w:rPr>
                    <w:t>ió</w:t>
                  </w:r>
                  <w:r w:rsidRPr="00782EDE">
                    <w:rPr>
                      <w:rFonts w:ascii="Arial" w:eastAsia="Arial" w:hAnsi="Arial" w:cs="Arial"/>
                    </w:rPr>
                    <w:t xml:space="preserve"> la obligación de unificar la gestión de los recursos del </w:t>
                  </w:r>
                  <w:r w:rsidR="00FF335D">
                    <w:rPr>
                      <w:rFonts w:ascii="Arial" w:eastAsia="Arial" w:hAnsi="Arial" w:cs="Arial"/>
                    </w:rPr>
                    <w:t>sistema</w:t>
                  </w:r>
                  <w:r w:rsidRPr="00782EDE">
                    <w:rPr>
                      <w:rFonts w:ascii="Arial" w:eastAsia="Arial" w:hAnsi="Arial" w:cs="Arial"/>
                    </w:rPr>
                    <w:t xml:space="preserve">, para lo cual se creó la Entidad Administradora de los Recursos del SGSSS </w:t>
                  </w:r>
                  <w:r w:rsidRPr="00782EDE">
                    <w:rPr>
                      <w:rFonts w:ascii="Arial" w:eastAsia="Arial" w:hAnsi="Arial" w:cs="Arial"/>
                    </w:rPr>
                    <w:t xml:space="preserve">denominada </w:t>
                  </w:r>
                  <w:r w:rsidRPr="00782EDE">
                    <w:rPr>
                      <w:rFonts w:ascii="Arial" w:eastAsia="Arial" w:hAnsi="Arial" w:cs="Arial"/>
                    </w:rPr>
                    <w:t>ADRES, adscrita al Ministerio de Salud y Protección Social</w:t>
                  </w:r>
                  <w:r w:rsidR="00782EDE" w:rsidRPr="00782EDE">
                    <w:rPr>
                      <w:rFonts w:ascii="Arial" w:eastAsia="Arial" w:hAnsi="Arial" w:cs="Arial"/>
                    </w:rPr>
                    <w:t xml:space="preserve">, </w:t>
                  </w:r>
                  <w:r w:rsidRPr="00782EDE">
                    <w:rPr>
                      <w:rFonts w:ascii="Arial" w:eastAsia="Arial" w:hAnsi="Arial" w:cs="Arial"/>
                    </w:rPr>
                    <w:t xml:space="preserve">entidad </w:t>
                  </w:r>
                  <w:r w:rsidR="00782EDE" w:rsidRPr="00782EDE">
                    <w:rPr>
                      <w:rFonts w:ascii="Arial" w:eastAsia="Arial" w:hAnsi="Arial" w:cs="Arial"/>
                    </w:rPr>
                    <w:t xml:space="preserve">que </w:t>
                  </w:r>
                  <w:r w:rsidRPr="00782EDE">
                    <w:rPr>
                      <w:rFonts w:ascii="Arial" w:eastAsia="Arial" w:hAnsi="Arial" w:cs="Arial"/>
                    </w:rPr>
                    <w:t xml:space="preserve">tiene como propósito optimizar la asignación y el uso de los recursos, promover la transparencia y la rendición de cuentas en su manejo, y asegurar que los recursos se destinen de manera eficiente y efectiva a las necesidades prioritarias del sistema de </w:t>
                  </w:r>
                  <w:r w:rsidR="00942DC9">
                    <w:rPr>
                      <w:rFonts w:ascii="Arial" w:eastAsia="Arial" w:hAnsi="Arial" w:cs="Arial"/>
                    </w:rPr>
                    <w:t>S</w:t>
                  </w:r>
                  <w:r w:rsidRPr="00782EDE">
                    <w:rPr>
                      <w:rFonts w:ascii="Arial" w:eastAsia="Arial" w:hAnsi="Arial" w:cs="Arial"/>
                    </w:rPr>
                    <w:t>alud</w:t>
                  </w:r>
                  <w:r w:rsidR="00942DC9">
                    <w:rPr>
                      <w:rFonts w:ascii="Arial" w:eastAsia="Arial" w:hAnsi="Arial" w:cs="Arial"/>
                    </w:rPr>
                    <w:t xml:space="preserve"> y Protección Social</w:t>
                  </w:r>
                  <w:r w:rsidRPr="00782EDE">
                    <w:rPr>
                      <w:rFonts w:ascii="Arial" w:eastAsia="Arial" w:hAnsi="Arial" w:cs="Arial"/>
                    </w:rPr>
                    <w:t>.</w:t>
                  </w:r>
                </w:p>
                <w:p w14:paraId="3258B0F5" w14:textId="77777777" w:rsidR="00C357F8" w:rsidRDefault="00C357F8" w:rsidP="009C2072">
                  <w:pPr>
                    <w:spacing w:after="0" w:line="240" w:lineRule="auto"/>
                    <w:ind w:right="131"/>
                    <w:jc w:val="both"/>
                    <w:rPr>
                      <w:rFonts w:ascii="Arial" w:eastAsia="Arial" w:hAnsi="Arial" w:cs="Arial"/>
                    </w:rPr>
                  </w:pPr>
                </w:p>
                <w:p w14:paraId="02663EDD" w14:textId="627FC933" w:rsidR="00C357F8" w:rsidRDefault="00C357F8" w:rsidP="005E51FB">
                  <w:pPr>
                    <w:spacing w:after="0" w:line="240" w:lineRule="auto"/>
                    <w:ind w:right="131"/>
                    <w:jc w:val="both"/>
                    <w:rPr>
                      <w:rFonts w:ascii="Arial" w:eastAsia="Arial" w:hAnsi="Arial" w:cs="Arial"/>
                    </w:rPr>
                  </w:pPr>
                  <w:r w:rsidRPr="005E51FB">
                    <w:rPr>
                      <w:rFonts w:ascii="Arial" w:eastAsia="Arial" w:hAnsi="Arial" w:cs="Arial"/>
                    </w:rPr>
                    <w:lastRenderedPageBreak/>
                    <w:t xml:space="preserve">Por su parte, </w:t>
                  </w:r>
                  <w:r w:rsidR="00466DBC" w:rsidRPr="005E51FB">
                    <w:rPr>
                      <w:rFonts w:ascii="Arial" w:eastAsia="Arial" w:hAnsi="Arial" w:cs="Arial"/>
                    </w:rPr>
                    <w:t xml:space="preserve">la Superintendencia Nacional de Salud es competente para ejercer inspección, vigilancia y control del cumplimiento de las normas que rigen el </w:t>
                  </w:r>
                  <w:r w:rsidR="00466DBC" w:rsidRPr="005E51FB">
                    <w:rPr>
                      <w:rFonts w:ascii="Arial" w:eastAsia="Arial" w:hAnsi="Arial" w:cs="Arial"/>
                    </w:rPr>
                    <w:t>SGSSS</w:t>
                  </w:r>
                  <w:r w:rsidR="00466DBC" w:rsidRPr="005E51FB">
                    <w:rPr>
                      <w:rFonts w:ascii="Arial" w:eastAsia="Arial" w:hAnsi="Arial" w:cs="Arial"/>
                    </w:rPr>
                    <w:t>,</w:t>
                  </w:r>
                  <w:r w:rsidR="00466DBC" w:rsidRPr="005E51FB">
                    <w:rPr>
                      <w:rFonts w:ascii="Arial" w:eastAsia="Arial" w:hAnsi="Arial" w:cs="Arial"/>
                    </w:rPr>
                    <w:t xml:space="preserve"> </w:t>
                  </w:r>
                  <w:r w:rsidRPr="005E51FB">
                    <w:rPr>
                      <w:rFonts w:ascii="Arial" w:eastAsia="Arial" w:hAnsi="Arial" w:cs="Arial"/>
                    </w:rPr>
                    <w:t xml:space="preserve">de conformidad con lo dispuesto en </w:t>
                  </w:r>
                  <w:r w:rsidRPr="005E51FB">
                    <w:rPr>
                      <w:rFonts w:ascii="Arial" w:hAnsi="Arial" w:cs="Arial"/>
                      <w:lang w:eastAsia="es-CO"/>
                    </w:rPr>
                    <w:t xml:space="preserve">los artículos 35 y siguientes de la Ley </w:t>
                  </w:r>
                  <w:r w:rsidRPr="005E51FB">
                    <w:rPr>
                      <w:rFonts w:ascii="Arial" w:eastAsia="Arial" w:hAnsi="Arial" w:cs="Arial"/>
                    </w:rPr>
                    <w:t xml:space="preserve">1122 de 2007, 118 y siguientes de la Ley 1438 de 2011, 17 de la Ley 1966 de 2019 y 4º del Decreto 1080 de 2021, </w:t>
                  </w:r>
                  <w:r w:rsidR="005E51FB" w:rsidRPr="005E51FB">
                    <w:rPr>
                      <w:rFonts w:ascii="Arial" w:eastAsia="Arial" w:hAnsi="Arial" w:cs="Arial"/>
                    </w:rPr>
                    <w:t xml:space="preserve">con el ánimo de </w:t>
                  </w:r>
                  <w:r w:rsidRPr="005E51FB">
                    <w:rPr>
                      <w:rFonts w:ascii="Arial" w:eastAsia="Arial" w:hAnsi="Arial" w:cs="Arial"/>
                    </w:rPr>
                    <w:t xml:space="preserve">garantizar el derecho fundamental a la salud, la debida atención y protección al usuario a través de un sistema de priorización y alertas permanentes para el monitoreo integral de riesgos, entre otros aspectos que propenden por la observancia de las normas que regulan el </w:t>
                  </w:r>
                  <w:r w:rsidR="005E51FB" w:rsidRPr="005E51FB">
                    <w:rPr>
                      <w:rFonts w:ascii="Arial" w:eastAsia="Arial" w:hAnsi="Arial" w:cs="Arial"/>
                    </w:rPr>
                    <w:t>sistema</w:t>
                  </w:r>
                  <w:r w:rsidRPr="005E51FB">
                    <w:rPr>
                      <w:rFonts w:ascii="Arial" w:eastAsia="Arial" w:hAnsi="Arial" w:cs="Arial"/>
                    </w:rPr>
                    <w:t>.</w:t>
                  </w:r>
                </w:p>
                <w:p w14:paraId="0920A530" w14:textId="77777777" w:rsidR="005E51FB" w:rsidRDefault="005E51FB" w:rsidP="005E51FB">
                  <w:pPr>
                    <w:spacing w:after="0" w:line="240" w:lineRule="auto"/>
                    <w:ind w:right="131"/>
                    <w:jc w:val="both"/>
                    <w:rPr>
                      <w:rFonts w:ascii="Arial" w:eastAsia="Arial" w:hAnsi="Arial" w:cs="Arial"/>
                    </w:rPr>
                  </w:pPr>
                </w:p>
                <w:p w14:paraId="452FDE1E" w14:textId="022AF88C" w:rsidR="005E51FB" w:rsidRDefault="00016574" w:rsidP="003366F8">
                  <w:pPr>
                    <w:spacing w:after="0" w:line="240" w:lineRule="auto"/>
                    <w:ind w:right="130"/>
                    <w:jc w:val="both"/>
                    <w:rPr>
                      <w:rFonts w:ascii="Arial" w:eastAsia="Arial" w:hAnsi="Arial" w:cs="Arial"/>
                    </w:rPr>
                  </w:pPr>
                  <w:r w:rsidRPr="003366F8">
                    <w:rPr>
                      <w:rFonts w:ascii="Arial" w:eastAsia="Arial" w:hAnsi="Arial" w:cs="Arial"/>
                    </w:rPr>
                    <w:t>Ahora bien</w:t>
                  </w:r>
                  <w:r w:rsidR="002D1653" w:rsidRPr="003366F8">
                    <w:rPr>
                      <w:rFonts w:ascii="Arial" w:eastAsia="Arial" w:hAnsi="Arial" w:cs="Arial"/>
                    </w:rPr>
                    <w:t>, teniendo en cuenta las competencias de la ADRES y de la Superintendencia Nacional de Salud en el SGSSS y considerando las órdenes impartidas por la Corte Constitucional, deben revisarse y tenerse en cuenta como fuentes las Peticiones, Quejas, Reclamos y Denuncias (PQRDS)</w:t>
                  </w:r>
                  <w:r w:rsidR="00FC1EA2" w:rsidRPr="003366F8">
                    <w:rPr>
                      <w:rFonts w:ascii="Arial" w:eastAsia="Arial" w:hAnsi="Arial" w:cs="Arial"/>
                    </w:rPr>
                    <w:t xml:space="preserve">, así como las </w:t>
                  </w:r>
                  <w:r w:rsidR="002D1653" w:rsidRPr="003366F8">
                    <w:rPr>
                      <w:rFonts w:ascii="Arial" w:eastAsia="Arial" w:hAnsi="Arial" w:cs="Arial"/>
                    </w:rPr>
                    <w:t xml:space="preserve">tutelas interpuestas por negación de servicios y tecnologías en salud, entre otras, lo cual resulta </w:t>
                  </w:r>
                  <w:r w:rsidR="00FC1EA2" w:rsidRPr="003366F8">
                    <w:rPr>
                      <w:rFonts w:ascii="Arial" w:eastAsia="Arial" w:hAnsi="Arial" w:cs="Arial"/>
                    </w:rPr>
                    <w:t xml:space="preserve">necesario de acuerdo con lo requerido por la Corte Constitucional </w:t>
                  </w:r>
                  <w:r w:rsidR="002D1653" w:rsidRPr="003366F8">
                    <w:rPr>
                      <w:rFonts w:ascii="Arial" w:eastAsia="Arial" w:hAnsi="Arial" w:cs="Arial"/>
                    </w:rPr>
                    <w:t>para identificar con mayor objetividad los servicios negados sin justa causa por parte de las Entidades Administradoras de Planes de Beneficios (EAPB), en lugar de recopilar la información con base en auto reportes.</w:t>
                  </w:r>
                </w:p>
                <w:p w14:paraId="64AB2942" w14:textId="77777777" w:rsidR="003366F8" w:rsidRDefault="003366F8" w:rsidP="003366F8">
                  <w:pPr>
                    <w:spacing w:after="0" w:line="240" w:lineRule="auto"/>
                    <w:ind w:right="130"/>
                    <w:jc w:val="both"/>
                    <w:rPr>
                      <w:rFonts w:ascii="Arial" w:eastAsia="Arial" w:hAnsi="Arial" w:cs="Arial"/>
                    </w:rPr>
                  </w:pPr>
                </w:p>
                <w:p w14:paraId="04A2176D" w14:textId="742EDF17" w:rsidR="00F064B8" w:rsidRDefault="00F064B8" w:rsidP="00510361">
                  <w:pPr>
                    <w:spacing w:after="0" w:line="240" w:lineRule="auto"/>
                    <w:ind w:right="131"/>
                    <w:jc w:val="both"/>
                    <w:rPr>
                      <w:rFonts w:ascii="Arial" w:eastAsia="Arial" w:hAnsi="Arial" w:cs="Arial"/>
                    </w:rPr>
                  </w:pPr>
                  <w:r w:rsidRPr="00510361">
                    <w:rPr>
                      <w:rFonts w:ascii="Arial" w:eastAsia="Arial" w:hAnsi="Arial" w:cs="Arial"/>
                    </w:rPr>
                    <w:t xml:space="preserve">De otra parte, </w:t>
                  </w:r>
                  <w:r w:rsidRPr="00510361">
                    <w:rPr>
                      <w:rFonts w:ascii="Arial" w:eastAsia="Arial" w:hAnsi="Arial" w:cs="Arial"/>
                    </w:rPr>
                    <w:t xml:space="preserve">si bien la Resolución 1716 de 2019, modificada por la Resolución 995 de 2022, establece el procedimiento general para el reintegro de recursos del Sistema General de Seguridad Social en Salud, en cumplimiento a lo dispuesto en el Auto 005 de 2024 de la orden 19 de la Sentencia T-760 de 2008, se hace necesario implementar un procedimiento específico para el reintegro de los recursos por servicios y tecnologías negados sin justa causa con cargo a la prima UPC; </w:t>
                  </w:r>
                  <w:r w:rsidR="00510361" w:rsidRPr="00510361">
                    <w:rPr>
                      <w:rFonts w:ascii="Arial" w:eastAsia="Arial" w:hAnsi="Arial" w:cs="Arial"/>
                    </w:rPr>
                    <w:t>empero</w:t>
                  </w:r>
                  <w:r w:rsidRPr="00510361">
                    <w:rPr>
                      <w:rFonts w:ascii="Arial" w:eastAsia="Arial" w:hAnsi="Arial" w:cs="Arial"/>
                    </w:rPr>
                    <w:t xml:space="preserve">, en lo que respecta a las opciones para el reintegro de los recursos apropiados o reconocidos sin justa causa, </w:t>
                  </w:r>
                  <w:r w:rsidR="00510361" w:rsidRPr="00510361">
                    <w:rPr>
                      <w:rFonts w:ascii="Arial" w:eastAsia="Arial" w:hAnsi="Arial" w:cs="Arial"/>
                    </w:rPr>
                    <w:t xml:space="preserve">es preciso hacer </w:t>
                  </w:r>
                  <w:r w:rsidRPr="00510361">
                    <w:rPr>
                      <w:rFonts w:ascii="Arial" w:eastAsia="Arial" w:hAnsi="Arial" w:cs="Arial"/>
                    </w:rPr>
                    <w:t>remisión a lo dispuesto en los artículos 8, 9, 10, 11, 12, 13 y 14 de la Resolución 1716 de 2019, modificada por la Resolución 995 de 2022.</w:t>
                  </w:r>
                </w:p>
                <w:p w14:paraId="638D1BC4" w14:textId="77777777" w:rsidR="00DA75AE" w:rsidRDefault="00DA75AE" w:rsidP="00510361">
                  <w:pPr>
                    <w:spacing w:after="0" w:line="240" w:lineRule="auto"/>
                    <w:ind w:right="131"/>
                    <w:jc w:val="both"/>
                    <w:rPr>
                      <w:rFonts w:ascii="Arial" w:eastAsia="Arial" w:hAnsi="Arial" w:cs="Arial"/>
                    </w:rPr>
                  </w:pPr>
                </w:p>
                <w:p w14:paraId="05492A9C" w14:textId="49138296" w:rsidR="00DA75AE" w:rsidRPr="004B428B" w:rsidRDefault="00DA75AE" w:rsidP="004B428B">
                  <w:pPr>
                    <w:spacing w:after="0" w:line="240" w:lineRule="auto"/>
                    <w:ind w:right="131"/>
                    <w:jc w:val="both"/>
                    <w:rPr>
                      <w:rFonts w:ascii="Arial" w:eastAsia="Arial" w:hAnsi="Arial" w:cs="Arial"/>
                    </w:rPr>
                  </w:pPr>
                  <w:r w:rsidRPr="004B428B">
                    <w:rPr>
                      <w:rFonts w:ascii="Arial" w:eastAsia="Arial" w:hAnsi="Arial" w:cs="Arial"/>
                    </w:rPr>
                    <w:t xml:space="preserve">Finalmente y debido a las razones mencionadas, </w:t>
                  </w:r>
                  <w:r w:rsidRPr="004B428B">
                    <w:rPr>
                      <w:rFonts w:ascii="Arial" w:eastAsia="Arial" w:hAnsi="Arial" w:cs="Arial"/>
                    </w:rPr>
                    <w:t>es preciso eliminar el sistema de auto reportes</w:t>
                  </w:r>
                  <w:r w:rsidR="001163A8" w:rsidRPr="004B428B">
                    <w:rPr>
                      <w:rFonts w:ascii="Arial" w:eastAsia="Arial" w:hAnsi="Arial" w:cs="Arial"/>
                    </w:rPr>
                    <w:t>, lo cual supone necesariamente</w:t>
                  </w:r>
                  <w:r w:rsidRPr="004B428B">
                    <w:rPr>
                      <w:rFonts w:ascii="Arial" w:eastAsia="Arial" w:hAnsi="Arial" w:cs="Arial"/>
                    </w:rPr>
                    <w:t xml:space="preserve"> derogar la Resolución 3539 de 2019, </w:t>
                  </w:r>
                  <w:r w:rsidR="00452F85">
                    <w:rPr>
                      <w:rFonts w:ascii="Arial" w:eastAsia="Arial" w:hAnsi="Arial" w:cs="Arial"/>
                    </w:rPr>
                    <w:t xml:space="preserve">lo anterior, </w:t>
                  </w:r>
                  <w:r w:rsidRPr="004B428B">
                    <w:rPr>
                      <w:rFonts w:ascii="Arial" w:eastAsia="Arial" w:hAnsi="Arial" w:cs="Arial"/>
                    </w:rPr>
                    <w:t>para adoptar las disposiciones contenidas en los referidos autos de seguimiento de la orden 1</w:t>
                  </w:r>
                  <w:r w:rsidR="001163A8" w:rsidRPr="004B428B">
                    <w:rPr>
                      <w:rFonts w:ascii="Arial" w:eastAsia="Arial" w:hAnsi="Arial" w:cs="Arial"/>
                    </w:rPr>
                    <w:t>9</w:t>
                  </w:r>
                  <w:r w:rsidRPr="004B428B">
                    <w:rPr>
                      <w:rFonts w:ascii="Arial" w:eastAsia="Arial" w:hAnsi="Arial" w:cs="Arial"/>
                    </w:rPr>
                    <w:t xml:space="preserve"> de la </w:t>
                  </w:r>
                  <w:r w:rsidR="005738A0">
                    <w:rPr>
                      <w:rFonts w:ascii="Arial" w:eastAsia="Arial" w:hAnsi="Arial" w:cs="Arial"/>
                    </w:rPr>
                    <w:t xml:space="preserve">Sentencia T-760 de 2008 de la </w:t>
                  </w:r>
                  <w:r w:rsidRPr="004B428B">
                    <w:rPr>
                      <w:rFonts w:ascii="Arial" w:eastAsia="Arial" w:hAnsi="Arial" w:cs="Arial"/>
                    </w:rPr>
                    <w:t>Corte Constitucional, modificando las fuentes de información para la determinación de las negaciones sin justa causa de servicios y tecnologías en salud teniendo en cuenta estándares de oportunidad, entre otros, y con base en un sistema de alerta</w:t>
                  </w:r>
                  <w:r w:rsidR="00976F5B" w:rsidRPr="004B428B">
                    <w:rPr>
                      <w:rFonts w:ascii="Arial" w:eastAsia="Arial" w:hAnsi="Arial" w:cs="Arial"/>
                    </w:rPr>
                    <w:t xml:space="preserve"> que exige </w:t>
                  </w:r>
                  <w:r w:rsidR="004057B4">
                    <w:rPr>
                      <w:rFonts w:ascii="Arial" w:eastAsia="Arial" w:hAnsi="Arial" w:cs="Arial"/>
                    </w:rPr>
                    <w:t>el referido tribunal</w:t>
                  </w:r>
                  <w:r w:rsidRPr="004B428B">
                    <w:rPr>
                      <w:rFonts w:ascii="Arial" w:eastAsia="Arial" w:hAnsi="Arial" w:cs="Arial"/>
                    </w:rPr>
                    <w:t>, permit</w:t>
                  </w:r>
                  <w:r w:rsidR="004B428B" w:rsidRPr="004B428B">
                    <w:rPr>
                      <w:rFonts w:ascii="Arial" w:eastAsia="Arial" w:hAnsi="Arial" w:cs="Arial"/>
                    </w:rPr>
                    <w:t>iendo para ello</w:t>
                  </w:r>
                  <w:r w:rsidRPr="004B428B">
                    <w:rPr>
                      <w:rFonts w:ascii="Arial" w:eastAsia="Arial" w:hAnsi="Arial" w:cs="Arial"/>
                    </w:rPr>
                    <w:t xml:space="preserve"> el ejercicio oportuno de acciones de inspección, vigilancia y control dirigidas a amparar los derechos de los usuarios del Sistema General de Seguridad Social en Salud.</w:t>
                  </w:r>
                </w:p>
                <w:p w14:paraId="7911D6CF" w14:textId="77777777" w:rsidR="001F406C" w:rsidRPr="005D46B8" w:rsidRDefault="001F406C" w:rsidP="00D71594">
                  <w:pPr>
                    <w:spacing w:after="0" w:line="240" w:lineRule="auto"/>
                    <w:ind w:right="131"/>
                    <w:jc w:val="both"/>
                    <w:rPr>
                      <w:rFonts w:ascii="Arial" w:eastAsia="Times New Roman" w:hAnsi="Arial" w:cs="Arial"/>
                      <w:lang w:val="es-ES_tradnl" w:eastAsia="es-ES"/>
                    </w:rPr>
                  </w:pPr>
                </w:p>
              </w:tc>
            </w:tr>
          </w:tbl>
          <w:p w14:paraId="6869860F" w14:textId="77777777" w:rsidR="001F406C" w:rsidRPr="005D46B8" w:rsidRDefault="001F406C" w:rsidP="005D46B8">
            <w:pPr>
              <w:tabs>
                <w:tab w:val="left" w:pos="165"/>
              </w:tabs>
              <w:spacing w:after="0" w:line="240" w:lineRule="auto"/>
              <w:jc w:val="both"/>
              <w:rPr>
                <w:rFonts w:ascii="Arial" w:eastAsia="Times New Roman" w:hAnsi="Arial" w:cs="Arial"/>
                <w:b/>
                <w:lang w:val="es-ES_tradnl" w:eastAsia="es-ES"/>
              </w:rPr>
            </w:pPr>
          </w:p>
          <w:tbl>
            <w:tblPr>
              <w:tblW w:w="878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1F406C" w:rsidRPr="005D46B8" w14:paraId="0AD2CAE5" w14:textId="77777777" w:rsidTr="009E222D">
              <w:trPr>
                <w:trHeight w:val="735"/>
              </w:trPr>
              <w:tc>
                <w:tcPr>
                  <w:tcW w:w="8789" w:type="dxa"/>
                </w:tcPr>
                <w:p w14:paraId="3348CC4F" w14:textId="2ED97E8E" w:rsidR="001F406C" w:rsidRPr="005D46B8" w:rsidRDefault="001F406C" w:rsidP="005D46B8">
                  <w:pPr>
                    <w:numPr>
                      <w:ilvl w:val="0"/>
                      <w:numId w:val="1"/>
                    </w:numPr>
                    <w:tabs>
                      <w:tab w:val="left" w:pos="165"/>
                    </w:tabs>
                    <w:spacing w:after="0" w:line="240" w:lineRule="auto"/>
                    <w:ind w:left="388" w:right="139" w:hanging="284"/>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ÁMBITO DE APLICACIÓN DE</w:t>
                  </w:r>
                  <w:r w:rsidR="009C7CCF">
                    <w:rPr>
                      <w:rFonts w:ascii="Arial" w:eastAsia="Times New Roman" w:hAnsi="Arial" w:cs="Arial"/>
                      <w:b/>
                      <w:lang w:val="es-ES_tradnl" w:eastAsia="es-ES"/>
                    </w:rPr>
                    <w:t xml:space="preserve"> </w:t>
                  </w:r>
                  <w:r w:rsidRPr="005D46B8">
                    <w:rPr>
                      <w:rFonts w:ascii="Arial" w:eastAsia="Times New Roman" w:hAnsi="Arial" w:cs="Arial"/>
                      <w:b/>
                      <w:lang w:val="es-ES_tradnl" w:eastAsia="es-ES"/>
                    </w:rPr>
                    <w:t>L</w:t>
                  </w:r>
                  <w:r w:rsidR="009C7CCF">
                    <w:rPr>
                      <w:rFonts w:ascii="Arial" w:eastAsia="Times New Roman" w:hAnsi="Arial" w:cs="Arial"/>
                      <w:b/>
                      <w:lang w:val="es-ES_tradnl" w:eastAsia="es-ES"/>
                    </w:rPr>
                    <w:t>A</w:t>
                  </w:r>
                  <w:r w:rsidRPr="005D46B8">
                    <w:rPr>
                      <w:rFonts w:ascii="Arial" w:eastAsia="Times New Roman" w:hAnsi="Arial" w:cs="Arial"/>
                      <w:b/>
                      <w:lang w:val="es-ES_tradnl" w:eastAsia="es-ES"/>
                    </w:rPr>
                    <w:t xml:space="preserve"> RESPECTIV</w:t>
                  </w:r>
                  <w:r w:rsidR="009C7CCF">
                    <w:rPr>
                      <w:rFonts w:ascii="Arial" w:eastAsia="Times New Roman" w:hAnsi="Arial" w:cs="Arial"/>
                      <w:b/>
                      <w:lang w:val="es-ES_tradnl" w:eastAsia="es-ES"/>
                    </w:rPr>
                    <w:t>A</w:t>
                  </w:r>
                  <w:r w:rsidRPr="005D46B8">
                    <w:rPr>
                      <w:rFonts w:ascii="Arial" w:eastAsia="Times New Roman" w:hAnsi="Arial" w:cs="Arial"/>
                      <w:b/>
                      <w:lang w:val="es-ES_tradnl" w:eastAsia="es-ES"/>
                    </w:rPr>
                    <w:t xml:space="preserve"> </w:t>
                  </w:r>
                  <w:r w:rsidR="009C7CCF">
                    <w:rPr>
                      <w:rFonts w:ascii="Arial" w:eastAsia="Times New Roman" w:hAnsi="Arial" w:cs="Arial"/>
                      <w:b/>
                      <w:lang w:val="es-ES_tradnl" w:eastAsia="es-ES"/>
                    </w:rPr>
                    <w:t xml:space="preserve">RESOLUCIÓN </w:t>
                  </w:r>
                  <w:r w:rsidRPr="005D46B8">
                    <w:rPr>
                      <w:rFonts w:ascii="Arial" w:eastAsia="Times New Roman" w:hAnsi="Arial" w:cs="Arial"/>
                      <w:b/>
                      <w:lang w:val="es-ES_tradnl" w:eastAsia="es-ES"/>
                    </w:rPr>
                    <w:t xml:space="preserve">Y LOS SUJETOS A QUIENES VA DIRIGIDO. OBLIGATORIAMENTE DEBE SER DILIGENCIADO POR EL ÁREA TÉCNICA  </w:t>
                  </w:r>
                </w:p>
              </w:tc>
            </w:tr>
            <w:tr w:rsidR="001F406C" w:rsidRPr="005D46B8" w14:paraId="07BAE8D3" w14:textId="77777777" w:rsidTr="007435F5">
              <w:trPr>
                <w:trHeight w:val="693"/>
              </w:trPr>
              <w:tc>
                <w:tcPr>
                  <w:tcW w:w="8789" w:type="dxa"/>
                </w:tcPr>
                <w:p w14:paraId="53BE5EA6" w14:textId="77777777" w:rsidR="001F406C" w:rsidRPr="007435F5" w:rsidRDefault="001F406C" w:rsidP="007435F5">
                  <w:pPr>
                    <w:tabs>
                      <w:tab w:val="left" w:pos="165"/>
                    </w:tabs>
                    <w:spacing w:after="0" w:line="240" w:lineRule="auto"/>
                    <w:jc w:val="both"/>
                    <w:rPr>
                      <w:rFonts w:ascii="Arial" w:eastAsia="Calibri" w:hAnsi="Arial" w:cs="Arial"/>
                      <w:lang w:val="es-ES" w:eastAsia="es-ES"/>
                    </w:rPr>
                  </w:pPr>
                </w:p>
                <w:p w14:paraId="59CA7E85" w14:textId="77777777" w:rsidR="00967AE0" w:rsidRPr="000F3069" w:rsidRDefault="00FD44CD" w:rsidP="000F3069">
                  <w:pPr>
                    <w:pStyle w:val="Textoindependiente"/>
                    <w:ind w:left="6" w:right="141"/>
                    <w:rPr>
                      <w:rFonts w:ascii="Arial" w:eastAsia="Arial" w:hAnsi="Arial" w:cs="Arial"/>
                      <w:bCs/>
                      <w:iCs/>
                      <w:sz w:val="22"/>
                      <w:szCs w:val="22"/>
                    </w:rPr>
                  </w:pPr>
                  <w:r w:rsidRPr="000F3069">
                    <w:rPr>
                      <w:rFonts w:ascii="Arial" w:eastAsia="Arial" w:hAnsi="Arial" w:cs="Arial"/>
                      <w:sz w:val="22"/>
                      <w:szCs w:val="22"/>
                    </w:rPr>
                    <w:t xml:space="preserve">La resolución tiene por objeto, </w:t>
                  </w:r>
                  <w:r w:rsidR="009D4153" w:rsidRPr="000F3069">
                    <w:rPr>
                      <w:rFonts w:ascii="Arial" w:eastAsia="Arial" w:hAnsi="Arial" w:cs="Arial"/>
                      <w:bCs/>
                      <w:iCs/>
                      <w:sz w:val="22"/>
                      <w:szCs w:val="22"/>
                    </w:rPr>
                    <w:t xml:space="preserve">regular el </w:t>
                  </w:r>
                  <w:r w:rsidR="009D4153" w:rsidRPr="000F3069">
                    <w:rPr>
                      <w:rFonts w:ascii="Arial" w:eastAsia="Arial" w:hAnsi="Arial" w:cs="Arial"/>
                      <w:iCs/>
                      <w:sz w:val="22"/>
                      <w:szCs w:val="22"/>
                    </w:rPr>
                    <w:t>registro de negaciones de servicios y tecnologías en salud en los Regímenes Contributivo y Subsidiado, financiados con cargo a la prima UPC</w:t>
                  </w:r>
                  <w:r w:rsidR="009D4153" w:rsidRPr="000F3069">
                    <w:rPr>
                      <w:rFonts w:ascii="Arial" w:eastAsia="Arial" w:hAnsi="Arial" w:cs="Arial"/>
                      <w:bCs/>
                      <w:iCs/>
                      <w:sz w:val="22"/>
                      <w:szCs w:val="22"/>
                    </w:rPr>
                    <w:t xml:space="preserve">, con el fin de garantizar la generación de información confiable y oportuna sobre la negación de servicios incluidos en el </w:t>
                  </w:r>
                  <w:r w:rsidR="009D4153" w:rsidRPr="000F3069">
                    <w:rPr>
                      <w:rFonts w:ascii="Arial" w:eastAsia="Arial" w:hAnsi="Arial" w:cs="Arial"/>
                      <w:iCs/>
                      <w:sz w:val="22"/>
                      <w:szCs w:val="22"/>
                    </w:rPr>
                    <w:t>Plan de Beneficios en Salud (PBS)</w:t>
                  </w:r>
                  <w:r w:rsidR="009D4153" w:rsidRPr="000F3069">
                    <w:rPr>
                      <w:rFonts w:ascii="Arial" w:eastAsia="Arial" w:hAnsi="Arial" w:cs="Arial"/>
                      <w:bCs/>
                      <w:iCs/>
                      <w:sz w:val="22"/>
                      <w:szCs w:val="22"/>
                    </w:rPr>
                    <w:t xml:space="preserve">, así como de aquellos que, pese a ser autorizados, no sean suministrados conforme a los estándares de oportunidad definidos para su atención. </w:t>
                  </w:r>
                </w:p>
                <w:p w14:paraId="58C1D742" w14:textId="77777777" w:rsidR="00967AE0" w:rsidRPr="000F3069" w:rsidRDefault="00967AE0" w:rsidP="000F3069">
                  <w:pPr>
                    <w:pStyle w:val="Textoindependiente"/>
                    <w:ind w:left="6" w:right="141"/>
                    <w:rPr>
                      <w:rFonts w:ascii="Arial" w:eastAsia="Arial" w:hAnsi="Arial" w:cs="Arial"/>
                      <w:bCs/>
                      <w:iCs/>
                      <w:sz w:val="22"/>
                      <w:szCs w:val="22"/>
                    </w:rPr>
                  </w:pPr>
                </w:p>
                <w:p w14:paraId="7B4FD3C5" w14:textId="77777777" w:rsidR="002079EE" w:rsidRPr="000F3069" w:rsidRDefault="009D4153" w:rsidP="000F3069">
                  <w:pPr>
                    <w:pStyle w:val="Textoindependiente"/>
                    <w:ind w:left="6" w:right="141"/>
                    <w:rPr>
                      <w:rFonts w:ascii="Arial" w:eastAsia="Arial" w:hAnsi="Arial" w:cs="Arial"/>
                      <w:bCs/>
                      <w:iCs/>
                      <w:sz w:val="22"/>
                      <w:szCs w:val="22"/>
                    </w:rPr>
                  </w:pPr>
                  <w:r w:rsidRPr="000F3069">
                    <w:rPr>
                      <w:rFonts w:ascii="Arial" w:eastAsia="Arial" w:hAnsi="Arial" w:cs="Arial"/>
                      <w:bCs/>
                      <w:iCs/>
                      <w:sz w:val="22"/>
                      <w:szCs w:val="22"/>
                    </w:rPr>
                    <w:t xml:space="preserve">Para </w:t>
                  </w:r>
                  <w:r w:rsidR="00967AE0" w:rsidRPr="000F3069">
                    <w:rPr>
                      <w:rFonts w:ascii="Arial" w:eastAsia="Arial" w:hAnsi="Arial" w:cs="Arial"/>
                      <w:bCs/>
                      <w:iCs/>
                      <w:sz w:val="22"/>
                      <w:szCs w:val="22"/>
                    </w:rPr>
                    <w:t>tal propósito busca que</w:t>
                  </w:r>
                  <w:r w:rsidRPr="000F3069">
                    <w:rPr>
                      <w:rFonts w:ascii="Arial" w:eastAsia="Arial" w:hAnsi="Arial" w:cs="Arial"/>
                      <w:bCs/>
                      <w:iCs/>
                      <w:sz w:val="22"/>
                      <w:szCs w:val="22"/>
                    </w:rPr>
                    <w:t xml:space="preserve"> se optimi</w:t>
                  </w:r>
                  <w:r w:rsidR="00967AE0" w:rsidRPr="000F3069">
                    <w:rPr>
                      <w:rFonts w:ascii="Arial" w:eastAsia="Arial" w:hAnsi="Arial" w:cs="Arial"/>
                      <w:bCs/>
                      <w:iCs/>
                      <w:sz w:val="22"/>
                      <w:szCs w:val="22"/>
                    </w:rPr>
                    <w:t>cen</w:t>
                  </w:r>
                  <w:r w:rsidRPr="000F3069">
                    <w:rPr>
                      <w:rFonts w:ascii="Arial" w:eastAsia="Arial" w:hAnsi="Arial" w:cs="Arial"/>
                      <w:bCs/>
                      <w:iCs/>
                      <w:sz w:val="22"/>
                      <w:szCs w:val="22"/>
                    </w:rPr>
                    <w:t>, amplí</w:t>
                  </w:r>
                  <w:r w:rsidR="00967AE0" w:rsidRPr="000F3069">
                    <w:rPr>
                      <w:rFonts w:ascii="Arial" w:eastAsia="Arial" w:hAnsi="Arial" w:cs="Arial"/>
                      <w:bCs/>
                      <w:iCs/>
                      <w:sz w:val="22"/>
                      <w:szCs w:val="22"/>
                    </w:rPr>
                    <w:t>e</w:t>
                  </w:r>
                  <w:r w:rsidRPr="000F3069">
                    <w:rPr>
                      <w:rFonts w:ascii="Arial" w:eastAsia="Arial" w:hAnsi="Arial" w:cs="Arial"/>
                      <w:bCs/>
                      <w:iCs/>
                      <w:sz w:val="22"/>
                      <w:szCs w:val="22"/>
                    </w:rPr>
                    <w:t>n y fortale</w:t>
                  </w:r>
                  <w:r w:rsidR="00967AE0" w:rsidRPr="000F3069">
                    <w:rPr>
                      <w:rFonts w:ascii="Arial" w:eastAsia="Arial" w:hAnsi="Arial" w:cs="Arial"/>
                      <w:bCs/>
                      <w:iCs/>
                      <w:sz w:val="22"/>
                      <w:szCs w:val="22"/>
                    </w:rPr>
                    <w:t>z</w:t>
                  </w:r>
                  <w:r w:rsidRPr="000F3069">
                    <w:rPr>
                      <w:rFonts w:ascii="Arial" w:eastAsia="Arial" w:hAnsi="Arial" w:cs="Arial"/>
                      <w:bCs/>
                      <w:iCs/>
                      <w:sz w:val="22"/>
                      <w:szCs w:val="22"/>
                    </w:rPr>
                    <w:t>c</w:t>
                  </w:r>
                  <w:r w:rsidR="00967AE0" w:rsidRPr="000F3069">
                    <w:rPr>
                      <w:rFonts w:ascii="Arial" w:eastAsia="Arial" w:hAnsi="Arial" w:cs="Arial"/>
                      <w:bCs/>
                      <w:iCs/>
                      <w:sz w:val="22"/>
                      <w:szCs w:val="22"/>
                    </w:rPr>
                    <w:t>a</w:t>
                  </w:r>
                  <w:r w:rsidRPr="000F3069">
                    <w:rPr>
                      <w:rFonts w:ascii="Arial" w:eastAsia="Arial" w:hAnsi="Arial" w:cs="Arial"/>
                      <w:bCs/>
                      <w:iCs/>
                      <w:sz w:val="22"/>
                      <w:szCs w:val="22"/>
                    </w:rPr>
                    <w:t xml:space="preserve">n los mecanismos de </w:t>
                  </w:r>
                  <w:r w:rsidRPr="000F3069">
                    <w:rPr>
                      <w:rFonts w:ascii="Arial" w:eastAsia="Arial" w:hAnsi="Arial" w:cs="Arial"/>
                      <w:iCs/>
                      <w:sz w:val="22"/>
                      <w:szCs w:val="22"/>
                    </w:rPr>
                    <w:t>reporte y seguimiento</w:t>
                  </w:r>
                  <w:r w:rsidRPr="000F3069">
                    <w:rPr>
                      <w:rFonts w:ascii="Arial" w:eastAsia="Arial" w:hAnsi="Arial" w:cs="Arial"/>
                      <w:bCs/>
                      <w:iCs/>
                      <w:sz w:val="22"/>
                      <w:szCs w:val="22"/>
                    </w:rPr>
                    <w:t xml:space="preserve">, </w:t>
                  </w:r>
                  <w:r w:rsidR="003C0971" w:rsidRPr="000F3069">
                    <w:rPr>
                      <w:rFonts w:ascii="Arial" w:eastAsia="Arial" w:hAnsi="Arial" w:cs="Arial"/>
                      <w:bCs/>
                      <w:iCs/>
                      <w:sz w:val="22"/>
                      <w:szCs w:val="22"/>
                    </w:rPr>
                    <w:t xml:space="preserve">al igual que pretende </w:t>
                  </w:r>
                  <w:r w:rsidRPr="000F3069">
                    <w:rPr>
                      <w:rFonts w:ascii="Arial" w:eastAsia="Arial" w:hAnsi="Arial" w:cs="Arial"/>
                      <w:bCs/>
                      <w:iCs/>
                      <w:sz w:val="22"/>
                      <w:szCs w:val="22"/>
                    </w:rPr>
                    <w:t>establec</w:t>
                  </w:r>
                  <w:r w:rsidR="003C0971" w:rsidRPr="000F3069">
                    <w:rPr>
                      <w:rFonts w:ascii="Arial" w:eastAsia="Arial" w:hAnsi="Arial" w:cs="Arial"/>
                      <w:bCs/>
                      <w:iCs/>
                      <w:sz w:val="22"/>
                      <w:szCs w:val="22"/>
                    </w:rPr>
                    <w:t>er</w:t>
                  </w:r>
                  <w:r w:rsidRPr="000F3069">
                    <w:rPr>
                      <w:rFonts w:ascii="Arial" w:eastAsia="Arial" w:hAnsi="Arial" w:cs="Arial"/>
                      <w:bCs/>
                      <w:iCs/>
                      <w:sz w:val="22"/>
                      <w:szCs w:val="22"/>
                    </w:rPr>
                    <w:t xml:space="preserve"> criterios para la identificación de </w:t>
                  </w:r>
                  <w:r w:rsidRPr="000F3069">
                    <w:rPr>
                      <w:rFonts w:ascii="Arial" w:eastAsia="Arial" w:hAnsi="Arial" w:cs="Arial"/>
                      <w:iCs/>
                      <w:sz w:val="22"/>
                      <w:szCs w:val="22"/>
                    </w:rPr>
                    <w:t>negaciones sin justa causa</w:t>
                  </w:r>
                  <w:r w:rsidR="003C0971" w:rsidRPr="000F3069">
                    <w:rPr>
                      <w:rFonts w:ascii="Arial" w:eastAsia="Arial" w:hAnsi="Arial" w:cs="Arial"/>
                      <w:iCs/>
                      <w:sz w:val="22"/>
                      <w:szCs w:val="22"/>
                    </w:rPr>
                    <w:t>, lo cual supone</w:t>
                  </w:r>
                  <w:r w:rsidRPr="000F3069">
                    <w:rPr>
                      <w:rFonts w:ascii="Arial" w:eastAsia="Arial" w:hAnsi="Arial" w:cs="Arial"/>
                      <w:bCs/>
                      <w:iCs/>
                      <w:sz w:val="22"/>
                      <w:szCs w:val="22"/>
                    </w:rPr>
                    <w:t xml:space="preserve"> determina</w:t>
                  </w:r>
                  <w:r w:rsidR="003C0971" w:rsidRPr="000F3069">
                    <w:rPr>
                      <w:rFonts w:ascii="Arial" w:eastAsia="Arial" w:hAnsi="Arial" w:cs="Arial"/>
                      <w:bCs/>
                      <w:iCs/>
                      <w:sz w:val="22"/>
                      <w:szCs w:val="22"/>
                    </w:rPr>
                    <w:t>r</w:t>
                  </w:r>
                  <w:r w:rsidRPr="000F3069">
                    <w:rPr>
                      <w:rFonts w:ascii="Arial" w:eastAsia="Arial" w:hAnsi="Arial" w:cs="Arial"/>
                      <w:bCs/>
                      <w:iCs/>
                      <w:sz w:val="22"/>
                      <w:szCs w:val="22"/>
                    </w:rPr>
                    <w:t xml:space="preserve"> el rol de la </w:t>
                  </w:r>
                  <w:r w:rsidRPr="000F3069">
                    <w:rPr>
                      <w:rFonts w:ascii="Arial" w:eastAsia="Arial" w:hAnsi="Arial" w:cs="Arial"/>
                      <w:iCs/>
                      <w:sz w:val="22"/>
                      <w:szCs w:val="22"/>
                    </w:rPr>
                    <w:t xml:space="preserve">Superintendencia Nacional de Salud y la ADRES </w:t>
                  </w:r>
                  <w:r w:rsidRPr="000F3069">
                    <w:rPr>
                      <w:rFonts w:ascii="Arial" w:eastAsia="Arial" w:hAnsi="Arial" w:cs="Arial"/>
                      <w:bCs/>
                      <w:iCs/>
                      <w:sz w:val="22"/>
                      <w:szCs w:val="22"/>
                    </w:rPr>
                    <w:t xml:space="preserve">en la aplicación del procedimiento. </w:t>
                  </w:r>
                </w:p>
                <w:p w14:paraId="7527C63F" w14:textId="77777777" w:rsidR="002079EE" w:rsidRPr="000F3069" w:rsidRDefault="002079EE" w:rsidP="000F3069">
                  <w:pPr>
                    <w:pStyle w:val="Textoindependiente"/>
                    <w:ind w:left="6" w:right="141"/>
                    <w:rPr>
                      <w:rFonts w:ascii="Arial" w:eastAsia="Arial" w:hAnsi="Arial" w:cs="Arial"/>
                      <w:bCs/>
                      <w:iCs/>
                      <w:sz w:val="22"/>
                      <w:szCs w:val="22"/>
                    </w:rPr>
                  </w:pPr>
                </w:p>
                <w:p w14:paraId="23F8FACE" w14:textId="12E6C30C" w:rsidR="009D4153" w:rsidRPr="000F3069" w:rsidRDefault="002079EE" w:rsidP="000F3069">
                  <w:pPr>
                    <w:pStyle w:val="Textoindependiente"/>
                    <w:ind w:left="6" w:right="141"/>
                    <w:rPr>
                      <w:rFonts w:ascii="Arial" w:eastAsia="Arial" w:hAnsi="Arial" w:cs="Arial"/>
                      <w:sz w:val="22"/>
                      <w:szCs w:val="22"/>
                    </w:rPr>
                  </w:pPr>
                  <w:r w:rsidRPr="000F3069">
                    <w:rPr>
                      <w:rFonts w:ascii="Arial" w:eastAsia="Arial" w:hAnsi="Arial" w:cs="Arial"/>
                      <w:bCs/>
                      <w:iCs/>
                      <w:sz w:val="22"/>
                      <w:szCs w:val="22"/>
                    </w:rPr>
                    <w:t xml:space="preserve">Para los fines pertinentes, la </w:t>
                  </w:r>
                  <w:r w:rsidR="009D4153" w:rsidRPr="000F3069">
                    <w:rPr>
                      <w:rFonts w:ascii="Arial" w:eastAsia="Arial" w:hAnsi="Arial" w:cs="Arial"/>
                      <w:bCs/>
                      <w:iCs/>
                      <w:sz w:val="22"/>
                      <w:szCs w:val="22"/>
                    </w:rPr>
                    <w:t xml:space="preserve">regulación se expide </w:t>
                  </w:r>
                  <w:r w:rsidR="004F3ED9" w:rsidRPr="000F3069">
                    <w:rPr>
                      <w:rFonts w:ascii="Arial" w:eastAsia="Arial" w:hAnsi="Arial" w:cs="Arial"/>
                      <w:bCs/>
                      <w:iCs/>
                      <w:sz w:val="22"/>
                      <w:szCs w:val="22"/>
                    </w:rPr>
                    <w:t xml:space="preserve">para dar </w:t>
                  </w:r>
                  <w:r w:rsidR="009D4153" w:rsidRPr="000F3069">
                    <w:rPr>
                      <w:rFonts w:ascii="Arial" w:eastAsia="Arial" w:hAnsi="Arial" w:cs="Arial"/>
                      <w:bCs/>
                      <w:iCs/>
                      <w:sz w:val="22"/>
                      <w:szCs w:val="22"/>
                    </w:rPr>
                    <w:t xml:space="preserve">cumplimiento </w:t>
                  </w:r>
                  <w:r w:rsidR="004F3ED9" w:rsidRPr="000F3069">
                    <w:rPr>
                      <w:rFonts w:ascii="Arial" w:eastAsia="Arial" w:hAnsi="Arial" w:cs="Arial"/>
                      <w:bCs/>
                      <w:iCs/>
                      <w:sz w:val="22"/>
                      <w:szCs w:val="22"/>
                    </w:rPr>
                    <w:t xml:space="preserve">a lo requerido por la Corte Constitucional en </w:t>
                  </w:r>
                  <w:r w:rsidR="009D4153" w:rsidRPr="000F3069">
                    <w:rPr>
                      <w:rFonts w:ascii="Arial" w:eastAsia="Arial" w:hAnsi="Arial" w:cs="Arial"/>
                      <w:bCs/>
                      <w:iCs/>
                      <w:sz w:val="22"/>
                      <w:szCs w:val="22"/>
                    </w:rPr>
                    <w:t xml:space="preserve">la </w:t>
                  </w:r>
                  <w:r w:rsidR="009D4153" w:rsidRPr="000F3069">
                    <w:rPr>
                      <w:rFonts w:ascii="Arial" w:eastAsia="Arial" w:hAnsi="Arial" w:cs="Arial"/>
                      <w:iCs/>
                      <w:sz w:val="22"/>
                      <w:szCs w:val="22"/>
                    </w:rPr>
                    <w:t>orden decimonovena (19) de la Sentencia T-760 de 2008</w:t>
                  </w:r>
                  <w:r w:rsidR="009D4153" w:rsidRPr="000F3069">
                    <w:rPr>
                      <w:rFonts w:ascii="Arial" w:eastAsia="Arial" w:hAnsi="Arial" w:cs="Arial"/>
                      <w:bCs/>
                      <w:iCs/>
                      <w:sz w:val="22"/>
                      <w:szCs w:val="22"/>
                    </w:rPr>
                    <w:t xml:space="preserve"> y </w:t>
                  </w:r>
                  <w:r w:rsidR="004F3ED9" w:rsidRPr="000F3069">
                    <w:rPr>
                      <w:rFonts w:ascii="Arial" w:eastAsia="Arial" w:hAnsi="Arial" w:cs="Arial"/>
                      <w:bCs/>
                      <w:iCs/>
                      <w:sz w:val="22"/>
                      <w:szCs w:val="22"/>
                    </w:rPr>
                    <w:t xml:space="preserve">en </w:t>
                  </w:r>
                  <w:r w:rsidR="009D4153" w:rsidRPr="000F3069">
                    <w:rPr>
                      <w:rFonts w:ascii="Arial" w:eastAsia="Arial" w:hAnsi="Arial" w:cs="Arial"/>
                      <w:bCs/>
                      <w:iCs/>
                      <w:sz w:val="22"/>
                      <w:szCs w:val="22"/>
                    </w:rPr>
                    <w:t xml:space="preserve">sus autos de seguimiento, </w:t>
                  </w:r>
                  <w:r w:rsidR="00984662" w:rsidRPr="000F3069">
                    <w:rPr>
                      <w:rFonts w:ascii="Arial" w:eastAsia="Arial" w:hAnsi="Arial" w:cs="Arial"/>
                      <w:bCs/>
                      <w:iCs/>
                      <w:sz w:val="22"/>
                      <w:szCs w:val="22"/>
                    </w:rPr>
                    <w:t xml:space="preserve">dentro de los que se incluyen principalmente el Auto 005 de 2024 y el Auto proferido el pasado 20 de marzo de 2025, </w:t>
                  </w:r>
                  <w:r w:rsidR="009D4153" w:rsidRPr="000F3069">
                    <w:rPr>
                      <w:rFonts w:ascii="Arial" w:eastAsia="Arial" w:hAnsi="Arial" w:cs="Arial"/>
                      <w:bCs/>
                      <w:iCs/>
                      <w:sz w:val="22"/>
                      <w:szCs w:val="22"/>
                    </w:rPr>
                    <w:t xml:space="preserve">lo que </w:t>
                  </w:r>
                  <w:r w:rsidR="00A87072" w:rsidRPr="000F3069">
                    <w:rPr>
                      <w:rFonts w:ascii="Arial" w:eastAsia="Arial" w:hAnsi="Arial" w:cs="Arial"/>
                      <w:bCs/>
                      <w:iCs/>
                      <w:sz w:val="22"/>
                      <w:szCs w:val="22"/>
                    </w:rPr>
                    <w:t xml:space="preserve">necesariamente implica </w:t>
                  </w:r>
                  <w:r w:rsidR="009D4153" w:rsidRPr="000F3069">
                    <w:rPr>
                      <w:rFonts w:ascii="Arial" w:eastAsia="Arial" w:hAnsi="Arial" w:cs="Arial"/>
                      <w:bCs/>
                      <w:iCs/>
                      <w:sz w:val="22"/>
                      <w:szCs w:val="22"/>
                    </w:rPr>
                    <w:t xml:space="preserve">la </w:t>
                  </w:r>
                  <w:r w:rsidR="009D4153" w:rsidRPr="000F3069">
                    <w:rPr>
                      <w:rFonts w:ascii="Arial" w:eastAsia="Arial" w:hAnsi="Arial" w:cs="Arial"/>
                      <w:iCs/>
                      <w:sz w:val="22"/>
                      <w:szCs w:val="22"/>
                    </w:rPr>
                    <w:t>derogatoria de la Resolución 3539 de 2019</w:t>
                  </w:r>
                  <w:r w:rsidR="00A87072" w:rsidRPr="000F3069">
                    <w:rPr>
                      <w:rFonts w:ascii="Arial" w:eastAsia="Arial" w:hAnsi="Arial" w:cs="Arial"/>
                      <w:iCs/>
                      <w:sz w:val="22"/>
                      <w:szCs w:val="22"/>
                    </w:rPr>
                    <w:t xml:space="preserve"> que define el </w:t>
                  </w:r>
                  <w:r w:rsidR="00A87072" w:rsidRPr="000F3069">
                    <w:rPr>
                      <w:rFonts w:ascii="Arial" w:eastAsia="Arial" w:hAnsi="Arial" w:cs="Arial"/>
                      <w:iCs/>
                      <w:sz w:val="22"/>
                      <w:szCs w:val="22"/>
                    </w:rPr>
                    <w:lastRenderedPageBreak/>
                    <w:t xml:space="preserve">sistema de auto reportes </w:t>
                  </w:r>
                  <w:r w:rsidR="00DC1648" w:rsidRPr="000F3069">
                    <w:rPr>
                      <w:rFonts w:ascii="Arial" w:eastAsia="Arial" w:hAnsi="Arial" w:cs="Arial"/>
                      <w:iCs/>
                      <w:sz w:val="22"/>
                      <w:szCs w:val="22"/>
                    </w:rPr>
                    <w:t xml:space="preserve">que actualmente realizan </w:t>
                  </w:r>
                  <w:r w:rsidR="00A87072" w:rsidRPr="000F3069">
                    <w:rPr>
                      <w:rFonts w:ascii="Arial" w:eastAsia="Arial" w:hAnsi="Arial" w:cs="Arial"/>
                      <w:iCs/>
                      <w:sz w:val="22"/>
                      <w:szCs w:val="22"/>
                    </w:rPr>
                    <w:t xml:space="preserve">las </w:t>
                  </w:r>
                  <w:r w:rsidR="007435F5" w:rsidRPr="000F3069">
                    <w:rPr>
                      <w:rFonts w:ascii="Arial" w:hAnsi="Arial" w:cs="Arial"/>
                      <w:sz w:val="22"/>
                      <w:szCs w:val="22"/>
                    </w:rPr>
                    <w:t>entidades responsables del aseguramiento en salud de los Regímenes Contributivo y Subsidiado</w:t>
                  </w:r>
                  <w:r w:rsidR="009D4153" w:rsidRPr="000F3069">
                    <w:rPr>
                      <w:rFonts w:ascii="Arial" w:eastAsia="Arial" w:hAnsi="Arial" w:cs="Arial"/>
                      <w:sz w:val="22"/>
                      <w:szCs w:val="22"/>
                    </w:rPr>
                    <w:t>.</w:t>
                  </w:r>
                </w:p>
                <w:p w14:paraId="004AFE2C" w14:textId="77777777" w:rsidR="007435F5" w:rsidRPr="000F3069" w:rsidRDefault="007435F5" w:rsidP="000F3069">
                  <w:pPr>
                    <w:pStyle w:val="Textoindependiente"/>
                    <w:ind w:left="6" w:right="141"/>
                    <w:rPr>
                      <w:rFonts w:ascii="Arial" w:eastAsia="Arial" w:hAnsi="Arial" w:cs="Arial"/>
                      <w:iCs/>
                      <w:sz w:val="22"/>
                      <w:szCs w:val="22"/>
                    </w:rPr>
                  </w:pPr>
                </w:p>
                <w:p w14:paraId="7644EE6E" w14:textId="629C84DA" w:rsidR="000F3069" w:rsidRPr="000F3069" w:rsidRDefault="00875945" w:rsidP="005B2486">
                  <w:pPr>
                    <w:spacing w:after="0" w:line="240" w:lineRule="auto"/>
                    <w:ind w:left="6" w:right="141"/>
                    <w:jc w:val="both"/>
                    <w:rPr>
                      <w:rFonts w:ascii="Arial" w:eastAsia="Arial" w:hAnsi="Arial" w:cs="Arial"/>
                      <w:b/>
                      <w:bCs/>
                      <w:color w:val="FF0000"/>
                      <w:lang w:val="es"/>
                    </w:rPr>
                  </w:pPr>
                  <w:r>
                    <w:rPr>
                      <w:rFonts w:ascii="Arial" w:eastAsia="Arial" w:hAnsi="Arial" w:cs="Arial"/>
                    </w:rPr>
                    <w:t>Para los fines pertinentes, l</w:t>
                  </w:r>
                  <w:r w:rsidR="000F3069" w:rsidRPr="000F3069">
                    <w:rPr>
                      <w:rFonts w:ascii="Arial" w:eastAsia="Arial" w:hAnsi="Arial" w:cs="Arial"/>
                    </w:rPr>
                    <w:t xml:space="preserve">as disposiciones contenidas en </w:t>
                  </w:r>
                  <w:r w:rsidR="005B2486">
                    <w:rPr>
                      <w:rFonts w:ascii="Arial" w:eastAsia="Arial" w:hAnsi="Arial" w:cs="Arial"/>
                    </w:rPr>
                    <w:t xml:space="preserve">el proyecto de acto administrativo </w:t>
                  </w:r>
                  <w:r w:rsidR="000F3069" w:rsidRPr="000F3069">
                    <w:rPr>
                      <w:rFonts w:ascii="Arial" w:eastAsia="Arial" w:hAnsi="Arial" w:cs="Arial"/>
                    </w:rPr>
                    <w:t xml:space="preserve">se aplican a las entidades territoriales departamentales y distritales, las Entidades Administradoras de Planes de Beneficios (EAPB) responsables del aseguramiento en salud de los Regímenes Contributivo y Subsidiado, la Superintendencia Nacional de Salud y la Administradora de ​los Recursos del Sistema General de Seguridad Social en Salud (ADRES). </w:t>
                  </w:r>
                </w:p>
                <w:p w14:paraId="7B264F3E" w14:textId="1D144FBF" w:rsidR="001F406C" w:rsidRPr="00C75569" w:rsidRDefault="001F406C" w:rsidP="00C75569">
                  <w:pPr>
                    <w:pStyle w:val="Textoindependiente"/>
                    <w:ind w:left="138" w:right="141"/>
                    <w:rPr>
                      <w:rFonts w:ascii="Arial" w:eastAsia="Arial" w:hAnsi="Arial" w:cs="Arial"/>
                      <w:sz w:val="22"/>
                      <w:szCs w:val="22"/>
                    </w:rPr>
                  </w:pPr>
                </w:p>
              </w:tc>
            </w:tr>
          </w:tbl>
          <w:p w14:paraId="2882A9DD" w14:textId="77777777" w:rsidR="001F406C" w:rsidRPr="005D46B8" w:rsidRDefault="001F406C" w:rsidP="005D46B8">
            <w:pPr>
              <w:tabs>
                <w:tab w:val="left" w:pos="165"/>
              </w:tabs>
              <w:spacing w:after="0" w:line="240" w:lineRule="auto"/>
              <w:jc w:val="both"/>
              <w:rPr>
                <w:rFonts w:ascii="Arial" w:eastAsia="Times New Roman" w:hAnsi="Arial" w:cs="Arial"/>
                <w:b/>
                <w:lang w:val="es-ES_tradnl" w:eastAsia="es-ES"/>
              </w:rPr>
            </w:pPr>
          </w:p>
          <w:tbl>
            <w:tblPr>
              <w:tblW w:w="878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1F406C" w:rsidRPr="005D46B8" w14:paraId="298BCAD3" w14:textId="77777777" w:rsidTr="009E222D">
              <w:trPr>
                <w:trHeight w:val="540"/>
              </w:trPr>
              <w:tc>
                <w:tcPr>
                  <w:tcW w:w="8789" w:type="dxa"/>
                </w:tcPr>
                <w:p w14:paraId="37BB5A81" w14:textId="459C04EE" w:rsidR="001F406C" w:rsidRPr="005D46B8" w:rsidRDefault="001F406C" w:rsidP="005D46B8">
                  <w:pPr>
                    <w:numPr>
                      <w:ilvl w:val="0"/>
                      <w:numId w:val="1"/>
                    </w:numPr>
                    <w:tabs>
                      <w:tab w:val="left" w:pos="165"/>
                    </w:tabs>
                    <w:spacing w:after="0" w:line="240" w:lineRule="auto"/>
                    <w:ind w:left="555" w:right="227" w:hanging="425"/>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IMPACTO ECONÓMICO, SI FUERE EL CASO, EL CUAL DEBERÁ SEÑALAR EL COSTO O AHORRO, DE LA IMPLEMENTACIÓN DE</w:t>
                  </w:r>
                  <w:r w:rsidR="00C94597">
                    <w:rPr>
                      <w:rFonts w:ascii="Arial" w:eastAsia="Times New Roman" w:hAnsi="Arial" w:cs="Arial"/>
                      <w:b/>
                      <w:lang w:val="es-ES_tradnl" w:eastAsia="es-ES"/>
                    </w:rPr>
                    <w:t>L</w:t>
                  </w:r>
                  <w:r w:rsidR="007C7C2A">
                    <w:rPr>
                      <w:rFonts w:ascii="Arial" w:eastAsia="Times New Roman" w:hAnsi="Arial" w:cs="Arial"/>
                      <w:b/>
                      <w:lang w:val="es-ES_tradnl" w:eastAsia="es-ES"/>
                    </w:rPr>
                    <w:t xml:space="preserve"> </w:t>
                  </w:r>
                  <w:r w:rsidR="00C94597">
                    <w:rPr>
                      <w:rFonts w:ascii="Arial" w:eastAsia="Times New Roman" w:hAnsi="Arial" w:cs="Arial"/>
                      <w:b/>
                      <w:lang w:val="es-ES_tradnl" w:eastAsia="es-ES"/>
                    </w:rPr>
                    <w:t>RESPECTIVO ACTO</w:t>
                  </w:r>
                  <w:r w:rsidRPr="005D46B8">
                    <w:rPr>
                      <w:rFonts w:ascii="Arial" w:eastAsia="Times New Roman" w:hAnsi="Arial" w:cs="Arial"/>
                      <w:b/>
                      <w:lang w:val="es-ES_tradnl" w:eastAsia="es-ES"/>
                    </w:rPr>
                    <w:t xml:space="preserve">. OBLIGATORIAMENTE DEBE SER DILIGENCIADO POR EL ÁREA TÉCNICA  </w:t>
                  </w:r>
                </w:p>
              </w:tc>
            </w:tr>
            <w:tr w:rsidR="001F406C" w:rsidRPr="005D46B8" w14:paraId="13FC65C7" w14:textId="77777777" w:rsidTr="009E222D">
              <w:trPr>
                <w:trHeight w:val="578"/>
              </w:trPr>
              <w:tc>
                <w:tcPr>
                  <w:tcW w:w="8789" w:type="dxa"/>
                </w:tcPr>
                <w:p w14:paraId="72F0D0D3" w14:textId="77777777" w:rsidR="001F406C" w:rsidRPr="005D46B8" w:rsidRDefault="001F406C" w:rsidP="005D46B8">
                  <w:pPr>
                    <w:tabs>
                      <w:tab w:val="left" w:pos="165"/>
                    </w:tabs>
                    <w:spacing w:after="0" w:line="240" w:lineRule="auto"/>
                    <w:jc w:val="both"/>
                    <w:rPr>
                      <w:rFonts w:ascii="Arial" w:eastAsia="Times New Roman" w:hAnsi="Arial" w:cs="Arial"/>
                      <w:lang w:val="es-ES_tradnl" w:eastAsia="es-ES"/>
                    </w:rPr>
                  </w:pPr>
                  <w:r w:rsidRPr="005D46B8">
                    <w:rPr>
                      <w:rFonts w:ascii="Arial" w:eastAsia="Times New Roman" w:hAnsi="Arial" w:cs="Arial"/>
                      <w:lang w:val="es-ES_tradnl" w:eastAsia="es-ES"/>
                    </w:rPr>
                    <w:t xml:space="preserve"> </w:t>
                  </w:r>
                </w:p>
                <w:p w14:paraId="1B881622" w14:textId="77777777" w:rsidR="001F406C" w:rsidRPr="005D46B8" w:rsidRDefault="001F406C" w:rsidP="005D46B8">
                  <w:pPr>
                    <w:tabs>
                      <w:tab w:val="left" w:pos="165"/>
                    </w:tabs>
                    <w:spacing w:after="0" w:line="240" w:lineRule="auto"/>
                    <w:jc w:val="both"/>
                    <w:rPr>
                      <w:rFonts w:ascii="Arial" w:eastAsia="Times New Roman" w:hAnsi="Arial" w:cs="Arial"/>
                      <w:lang w:val="es-ES_tradnl" w:eastAsia="es-ES"/>
                    </w:rPr>
                  </w:pPr>
                  <w:r w:rsidRPr="005D46B8">
                    <w:rPr>
                      <w:rFonts w:ascii="Arial" w:eastAsia="Times New Roman" w:hAnsi="Arial" w:cs="Arial"/>
                      <w:lang w:val="es-ES_tradnl" w:eastAsia="es-ES"/>
                    </w:rPr>
                    <w:t>No aplica</w:t>
                  </w:r>
                </w:p>
                <w:p w14:paraId="4EC5C3FB" w14:textId="77777777" w:rsidR="001F406C" w:rsidRPr="005D46B8" w:rsidRDefault="001F406C" w:rsidP="005D46B8">
                  <w:pPr>
                    <w:tabs>
                      <w:tab w:val="left" w:pos="165"/>
                    </w:tabs>
                    <w:spacing w:after="0" w:line="240" w:lineRule="auto"/>
                    <w:jc w:val="both"/>
                    <w:rPr>
                      <w:rFonts w:ascii="Arial" w:eastAsia="Times New Roman" w:hAnsi="Arial" w:cs="Arial"/>
                      <w:b/>
                      <w:lang w:val="es-ES_tradnl" w:eastAsia="es-ES"/>
                    </w:rPr>
                  </w:pPr>
                </w:p>
              </w:tc>
            </w:tr>
          </w:tbl>
          <w:p w14:paraId="54D944DB" w14:textId="77777777" w:rsidR="001F406C" w:rsidRPr="005D46B8" w:rsidRDefault="001F406C" w:rsidP="005D46B8">
            <w:pPr>
              <w:tabs>
                <w:tab w:val="left" w:pos="165"/>
              </w:tabs>
              <w:spacing w:after="0" w:line="240" w:lineRule="auto"/>
              <w:ind w:left="214"/>
              <w:jc w:val="both"/>
              <w:rPr>
                <w:rFonts w:ascii="Arial" w:eastAsia="Times New Roman" w:hAnsi="Arial" w:cs="Arial"/>
                <w:b/>
                <w:lang w:val="es-ES_tradnl" w:eastAsia="es-ES"/>
              </w:rPr>
            </w:pPr>
          </w:p>
          <w:tbl>
            <w:tblPr>
              <w:tblW w:w="878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32"/>
            </w:tblGrid>
            <w:tr w:rsidR="001F406C" w:rsidRPr="005D46B8" w14:paraId="5DDE8083" w14:textId="77777777" w:rsidTr="009E222D">
              <w:trPr>
                <w:trHeight w:val="1523"/>
              </w:trPr>
              <w:tc>
                <w:tcPr>
                  <w:tcW w:w="8789" w:type="dxa"/>
                </w:tcPr>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1F406C" w:rsidRPr="005D46B8" w14:paraId="0380C200" w14:textId="77777777" w:rsidTr="009E222D">
                    <w:trPr>
                      <w:trHeight w:val="585"/>
                    </w:trPr>
                    <w:tc>
                      <w:tcPr>
                        <w:tcW w:w="8789" w:type="dxa"/>
                      </w:tcPr>
                      <w:p w14:paraId="2E335CED" w14:textId="77777777" w:rsidR="001F406C" w:rsidRPr="005D46B8" w:rsidRDefault="001F406C" w:rsidP="005D46B8">
                        <w:pPr>
                          <w:numPr>
                            <w:ilvl w:val="0"/>
                            <w:numId w:val="1"/>
                          </w:numPr>
                          <w:tabs>
                            <w:tab w:val="left" w:pos="165"/>
                          </w:tabs>
                          <w:spacing w:after="0" w:line="240" w:lineRule="auto"/>
                          <w:ind w:left="406" w:right="227" w:hanging="406"/>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 xml:space="preserve">DISPONIBILIDAD PRESUPUESTAL. OBLIGATORIAMENTE DEBE SER DILIGENCIADO POR EL ÁREA TÉCNICA  </w:t>
                        </w:r>
                      </w:p>
                    </w:tc>
                  </w:tr>
                  <w:tr w:rsidR="001F406C" w:rsidRPr="005D46B8" w14:paraId="45226E64" w14:textId="77777777" w:rsidTr="009E222D">
                    <w:trPr>
                      <w:trHeight w:val="590"/>
                    </w:trPr>
                    <w:tc>
                      <w:tcPr>
                        <w:tcW w:w="8789" w:type="dxa"/>
                      </w:tcPr>
                      <w:p w14:paraId="7D9F1B90" w14:textId="77777777" w:rsidR="001F406C" w:rsidRPr="005D46B8" w:rsidRDefault="001F406C" w:rsidP="005D46B8">
                        <w:pPr>
                          <w:tabs>
                            <w:tab w:val="left" w:pos="165"/>
                          </w:tabs>
                          <w:spacing w:after="0" w:line="240" w:lineRule="auto"/>
                          <w:jc w:val="both"/>
                          <w:rPr>
                            <w:rFonts w:ascii="Arial" w:eastAsia="Times New Roman" w:hAnsi="Arial" w:cs="Arial"/>
                            <w:lang w:val="es-ES_tradnl" w:eastAsia="es-ES"/>
                          </w:rPr>
                        </w:pPr>
                      </w:p>
                      <w:p w14:paraId="5BF171E6" w14:textId="77777777" w:rsidR="001F406C" w:rsidRPr="005D46B8" w:rsidRDefault="001F406C" w:rsidP="005D46B8">
                        <w:pPr>
                          <w:tabs>
                            <w:tab w:val="left" w:pos="165"/>
                          </w:tabs>
                          <w:spacing w:after="0" w:line="240" w:lineRule="auto"/>
                          <w:jc w:val="both"/>
                          <w:rPr>
                            <w:rFonts w:ascii="Arial" w:eastAsia="Times New Roman" w:hAnsi="Arial" w:cs="Arial"/>
                            <w:lang w:val="es-ES_tradnl" w:eastAsia="es-ES"/>
                          </w:rPr>
                        </w:pPr>
                        <w:r w:rsidRPr="005D46B8">
                          <w:rPr>
                            <w:rFonts w:ascii="Arial" w:eastAsia="Times New Roman" w:hAnsi="Arial" w:cs="Arial"/>
                            <w:lang w:val="es-ES_tradnl" w:eastAsia="es-ES"/>
                          </w:rPr>
                          <w:t>No aplica</w:t>
                        </w:r>
                      </w:p>
                      <w:p w14:paraId="58AB77DE" w14:textId="77777777" w:rsidR="001F406C" w:rsidRPr="005D46B8" w:rsidRDefault="001F406C" w:rsidP="005D46B8">
                        <w:pPr>
                          <w:tabs>
                            <w:tab w:val="left" w:pos="165"/>
                            <w:tab w:val="center" w:pos="4661"/>
                          </w:tabs>
                          <w:suppressAutoHyphens/>
                          <w:spacing w:after="0" w:line="240" w:lineRule="auto"/>
                          <w:jc w:val="both"/>
                          <w:outlineLvl w:val="0"/>
                          <w:rPr>
                            <w:rFonts w:ascii="Arial" w:eastAsia="Times New Roman" w:hAnsi="Arial" w:cs="Arial"/>
                            <w:lang w:val="es-ES_tradnl" w:eastAsia="es-ES"/>
                          </w:rPr>
                        </w:pPr>
                      </w:p>
                    </w:tc>
                  </w:tr>
                </w:tbl>
                <w:p w14:paraId="54F1DE00" w14:textId="77777777" w:rsidR="001F406C" w:rsidRPr="005D46B8" w:rsidRDefault="001F406C" w:rsidP="005D46B8">
                  <w:pPr>
                    <w:tabs>
                      <w:tab w:val="left" w:pos="165"/>
                    </w:tabs>
                    <w:spacing w:after="0" w:line="240" w:lineRule="auto"/>
                    <w:contextualSpacing/>
                    <w:jc w:val="both"/>
                    <w:rPr>
                      <w:rFonts w:ascii="Arial" w:eastAsia="Times New Roman" w:hAnsi="Arial" w:cs="Arial"/>
                      <w:b/>
                      <w:lang w:val="es-ES_tradnl" w:eastAsia="es-ES"/>
                    </w:rPr>
                  </w:pPr>
                </w:p>
              </w:tc>
            </w:tr>
          </w:tbl>
          <w:p w14:paraId="3BF50B9D" w14:textId="77777777" w:rsidR="001F406C" w:rsidRPr="005D46B8" w:rsidRDefault="001F406C" w:rsidP="005D46B8">
            <w:pPr>
              <w:tabs>
                <w:tab w:val="left" w:pos="165"/>
              </w:tabs>
              <w:spacing w:after="0" w:line="240" w:lineRule="auto"/>
              <w:jc w:val="both"/>
              <w:rPr>
                <w:rFonts w:ascii="Arial" w:eastAsia="Times New Roman" w:hAnsi="Arial" w:cs="Arial"/>
                <w:b/>
                <w:lang w:val="es-ES_tradnl" w:eastAsia="es-ES"/>
              </w:rPr>
            </w:pPr>
          </w:p>
          <w:tbl>
            <w:tblPr>
              <w:tblW w:w="878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1F406C" w:rsidRPr="005D46B8" w14:paraId="1271C08D" w14:textId="77777777" w:rsidTr="009E222D">
              <w:trPr>
                <w:trHeight w:val="510"/>
              </w:trPr>
              <w:tc>
                <w:tcPr>
                  <w:tcW w:w="8789" w:type="dxa"/>
                </w:tcPr>
                <w:p w14:paraId="42CB60B3" w14:textId="77777777" w:rsidR="001F406C" w:rsidRPr="005D46B8" w:rsidRDefault="001F406C" w:rsidP="005D46B8">
                  <w:pPr>
                    <w:numPr>
                      <w:ilvl w:val="0"/>
                      <w:numId w:val="1"/>
                    </w:numPr>
                    <w:tabs>
                      <w:tab w:val="left" w:pos="165"/>
                    </w:tabs>
                    <w:spacing w:after="0" w:line="240" w:lineRule="auto"/>
                    <w:ind w:left="409" w:right="227" w:hanging="437"/>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 xml:space="preserve">DE SER NECESARIO, IMPACTO MEDIOAMBIENTAL O SOBRE EL PATRIMONIO CULTURAL DE LA NACIÓN. OBLIGATORIAMENTE DEBE SER DILIGENCIADO POR EL ÁREA TÉCNICA  </w:t>
                  </w:r>
                </w:p>
                <w:p w14:paraId="0F4984A1" w14:textId="77777777" w:rsidR="001F406C" w:rsidRPr="005D46B8" w:rsidRDefault="001F406C" w:rsidP="005D46B8">
                  <w:pPr>
                    <w:tabs>
                      <w:tab w:val="left" w:pos="165"/>
                    </w:tabs>
                    <w:spacing w:after="0" w:line="240" w:lineRule="auto"/>
                    <w:ind w:left="775"/>
                    <w:contextualSpacing/>
                    <w:jc w:val="both"/>
                    <w:rPr>
                      <w:rFonts w:ascii="Arial" w:eastAsia="Times New Roman" w:hAnsi="Arial" w:cs="Arial"/>
                      <w:b/>
                      <w:lang w:val="es-ES_tradnl" w:eastAsia="es-ES"/>
                    </w:rPr>
                  </w:pPr>
                </w:p>
              </w:tc>
            </w:tr>
            <w:tr w:rsidR="001F406C" w:rsidRPr="005D46B8" w14:paraId="08D9A6D3" w14:textId="77777777" w:rsidTr="009E222D">
              <w:trPr>
                <w:trHeight w:val="474"/>
              </w:trPr>
              <w:tc>
                <w:tcPr>
                  <w:tcW w:w="8789" w:type="dxa"/>
                </w:tcPr>
                <w:p w14:paraId="30F48D35" w14:textId="77777777" w:rsidR="001F406C" w:rsidRPr="005D46B8" w:rsidRDefault="001F406C" w:rsidP="005D46B8">
                  <w:pPr>
                    <w:tabs>
                      <w:tab w:val="left" w:pos="165"/>
                    </w:tabs>
                    <w:spacing w:after="0" w:line="240" w:lineRule="auto"/>
                    <w:jc w:val="both"/>
                    <w:rPr>
                      <w:rFonts w:ascii="Arial" w:eastAsia="Times New Roman" w:hAnsi="Arial" w:cs="Arial"/>
                      <w:lang w:val="es-ES_tradnl" w:eastAsia="es-ES"/>
                    </w:rPr>
                  </w:pPr>
                  <w:r w:rsidRPr="005D46B8">
                    <w:rPr>
                      <w:rFonts w:ascii="Arial" w:eastAsia="Times New Roman" w:hAnsi="Arial" w:cs="Arial"/>
                      <w:lang w:val="es-ES_tradnl" w:eastAsia="es-ES"/>
                    </w:rPr>
                    <w:t xml:space="preserve">      </w:t>
                  </w:r>
                </w:p>
                <w:p w14:paraId="30D9F5A2" w14:textId="77777777" w:rsidR="001F406C" w:rsidRPr="005D46B8" w:rsidRDefault="001F406C" w:rsidP="005D46B8">
                  <w:pPr>
                    <w:tabs>
                      <w:tab w:val="left" w:pos="165"/>
                    </w:tabs>
                    <w:spacing w:after="0" w:line="240" w:lineRule="auto"/>
                    <w:jc w:val="both"/>
                    <w:rPr>
                      <w:rFonts w:ascii="Arial" w:eastAsia="Times New Roman" w:hAnsi="Arial" w:cs="Arial"/>
                      <w:lang w:val="es-ES_tradnl" w:eastAsia="es-ES"/>
                    </w:rPr>
                  </w:pPr>
                  <w:r w:rsidRPr="005D46B8">
                    <w:rPr>
                      <w:rFonts w:ascii="Arial" w:eastAsia="Times New Roman" w:hAnsi="Arial" w:cs="Arial"/>
                      <w:lang w:val="es-ES_tradnl" w:eastAsia="es-ES"/>
                    </w:rPr>
                    <w:t>No aplica</w:t>
                  </w:r>
                </w:p>
                <w:p w14:paraId="34B1175A" w14:textId="77777777" w:rsidR="001F406C" w:rsidRPr="005D46B8" w:rsidRDefault="001F406C" w:rsidP="005D46B8">
                  <w:pPr>
                    <w:tabs>
                      <w:tab w:val="left" w:pos="165"/>
                    </w:tabs>
                    <w:spacing w:after="0" w:line="240" w:lineRule="auto"/>
                    <w:ind w:left="715"/>
                    <w:contextualSpacing/>
                    <w:jc w:val="both"/>
                    <w:rPr>
                      <w:rFonts w:ascii="Arial" w:eastAsia="Times New Roman" w:hAnsi="Arial" w:cs="Arial"/>
                      <w:b/>
                      <w:lang w:val="es-ES_tradnl" w:eastAsia="es-ES"/>
                    </w:rPr>
                  </w:pPr>
                </w:p>
              </w:tc>
            </w:tr>
          </w:tbl>
          <w:p w14:paraId="20E198F0" w14:textId="77777777" w:rsidR="001F406C" w:rsidRPr="005D46B8" w:rsidRDefault="001F406C" w:rsidP="005D46B8">
            <w:pPr>
              <w:tabs>
                <w:tab w:val="left" w:pos="165"/>
              </w:tabs>
              <w:spacing w:after="0" w:line="240" w:lineRule="auto"/>
              <w:jc w:val="both"/>
              <w:rPr>
                <w:rFonts w:ascii="Arial" w:eastAsia="Times New Roman" w:hAnsi="Arial" w:cs="Arial"/>
                <w:b/>
                <w:lang w:val="es-ES_tradnl" w:eastAsia="es-ES"/>
              </w:rPr>
            </w:pPr>
          </w:p>
          <w:tbl>
            <w:tblPr>
              <w:tblW w:w="871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7"/>
            </w:tblGrid>
            <w:tr w:rsidR="001F406C" w:rsidRPr="005D46B8" w14:paraId="7D6AEE47" w14:textId="77777777" w:rsidTr="00B44311">
              <w:trPr>
                <w:trHeight w:val="945"/>
              </w:trPr>
              <w:tc>
                <w:tcPr>
                  <w:tcW w:w="8717" w:type="dxa"/>
                </w:tcPr>
                <w:p w14:paraId="09B4F014" w14:textId="77777777" w:rsidR="001F406C" w:rsidRPr="005D46B8" w:rsidRDefault="001F406C" w:rsidP="005D46B8">
                  <w:pPr>
                    <w:numPr>
                      <w:ilvl w:val="0"/>
                      <w:numId w:val="1"/>
                    </w:numPr>
                    <w:tabs>
                      <w:tab w:val="left" w:pos="165"/>
                    </w:tabs>
                    <w:spacing w:after="0" w:line="240" w:lineRule="auto"/>
                    <w:ind w:left="421" w:right="77" w:hanging="396"/>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 xml:space="preserve">CUMPLIMIENTO DE LOS REQUISITOS DE CONSULTA Y PUBLICIDAD PREVISTOS EN LOS ARTÍCULOS 2.1.2.1.13 y 2.1.2.1.14 DEL DECRETO 1081 DE 2015, MODIFICADO POR EL DECRETO 1609 DEL MISMO AÑO. OBLIGATORIAMENTE DEBE SER DILIGENCIADO POR EL ÁREA TÉCNICA  </w:t>
                  </w:r>
                </w:p>
              </w:tc>
            </w:tr>
          </w:tbl>
          <w:p w14:paraId="0A4410C8" w14:textId="77777777" w:rsidR="001F406C" w:rsidRPr="005D46B8" w:rsidRDefault="001F406C" w:rsidP="005D46B8">
            <w:pPr>
              <w:tabs>
                <w:tab w:val="left" w:pos="165"/>
              </w:tabs>
              <w:spacing w:after="0" w:line="240" w:lineRule="auto"/>
              <w:ind w:right="214"/>
              <w:jc w:val="both"/>
              <w:rPr>
                <w:rFonts w:ascii="Arial" w:eastAsia="Times New Roman" w:hAnsi="Arial" w:cs="Arial"/>
                <w:lang w:val="es-ES_tradnl" w:eastAsia="es-ES"/>
              </w:rPr>
            </w:pPr>
          </w:p>
          <w:p w14:paraId="5B835C99" w14:textId="3B954A1D" w:rsidR="00FA4BF6" w:rsidRDefault="00FC4405" w:rsidP="005D46B8">
            <w:pPr>
              <w:spacing w:after="0" w:line="240" w:lineRule="auto"/>
              <w:ind w:left="284" w:right="62"/>
              <w:contextualSpacing/>
              <w:jc w:val="both"/>
              <w:rPr>
                <w:rFonts w:ascii="Arial" w:eastAsia="Times New Roman" w:hAnsi="Arial" w:cs="Arial"/>
                <w:bCs/>
                <w:lang w:val="es-ES_tradnl" w:eastAsia="es-ES"/>
              </w:rPr>
            </w:pPr>
            <w:r w:rsidRPr="005D46B8">
              <w:rPr>
                <w:rFonts w:ascii="Arial" w:hAnsi="Arial" w:cs="Arial"/>
                <w:bCs/>
              </w:rPr>
              <w:t xml:space="preserve">Está pendiente la remisión </w:t>
            </w:r>
            <w:r w:rsidR="005E0492" w:rsidRPr="005D46B8">
              <w:rPr>
                <w:rFonts w:ascii="Arial" w:hAnsi="Arial" w:cs="Arial"/>
                <w:bCs/>
              </w:rPr>
              <w:t xml:space="preserve">del proyecto de </w:t>
            </w:r>
            <w:r w:rsidR="003E4C77">
              <w:rPr>
                <w:rFonts w:ascii="Arial" w:hAnsi="Arial" w:cs="Arial"/>
                <w:bCs/>
              </w:rPr>
              <w:t xml:space="preserve">resolución </w:t>
            </w:r>
            <w:r w:rsidR="005E0492" w:rsidRPr="005D46B8">
              <w:rPr>
                <w:rFonts w:ascii="Arial" w:hAnsi="Arial" w:cs="Arial"/>
                <w:bCs/>
              </w:rPr>
              <w:t>para efectos de consulta y publicidad requeridos</w:t>
            </w:r>
            <w:r w:rsidR="00B90367">
              <w:rPr>
                <w:rFonts w:ascii="Arial" w:hAnsi="Arial" w:cs="Arial"/>
                <w:bCs/>
              </w:rPr>
              <w:t xml:space="preserve"> </w:t>
            </w:r>
            <w:r w:rsidR="00B90367" w:rsidRPr="00B90367">
              <w:rPr>
                <w:rFonts w:ascii="Arial" w:eastAsia="Times New Roman" w:hAnsi="Arial" w:cs="Arial"/>
                <w:bCs/>
                <w:lang w:val="es-ES_tradnl" w:eastAsia="es-ES"/>
              </w:rPr>
              <w:t xml:space="preserve">en </w:t>
            </w:r>
            <w:r w:rsidR="003853D5">
              <w:rPr>
                <w:rFonts w:ascii="Arial" w:eastAsia="Times New Roman" w:hAnsi="Arial" w:cs="Arial"/>
                <w:bCs/>
                <w:lang w:val="es-ES_tradnl" w:eastAsia="es-ES"/>
              </w:rPr>
              <w:t>e</w:t>
            </w:r>
            <w:r w:rsidR="00B90367" w:rsidRPr="00B90367">
              <w:rPr>
                <w:rFonts w:ascii="Arial" w:eastAsia="Times New Roman" w:hAnsi="Arial" w:cs="Arial"/>
                <w:bCs/>
                <w:lang w:val="es-ES_tradnl" w:eastAsia="es-ES"/>
              </w:rPr>
              <w:t xml:space="preserve">l artículo </w:t>
            </w:r>
            <w:r w:rsidR="000A05DC">
              <w:rPr>
                <w:rFonts w:ascii="Arial" w:eastAsia="Times New Roman" w:hAnsi="Arial" w:cs="Arial"/>
                <w:bCs/>
                <w:lang w:val="es-ES_tradnl" w:eastAsia="es-ES"/>
              </w:rPr>
              <w:t>8</w:t>
            </w:r>
            <w:r w:rsidR="007300B6">
              <w:rPr>
                <w:rFonts w:ascii="Arial" w:eastAsia="Times New Roman" w:hAnsi="Arial" w:cs="Arial"/>
                <w:bCs/>
                <w:lang w:val="es-ES_tradnl" w:eastAsia="es-ES"/>
              </w:rPr>
              <w:t xml:space="preserve">º, </w:t>
            </w:r>
            <w:r w:rsidR="007B1B23">
              <w:rPr>
                <w:rFonts w:ascii="Arial" w:eastAsia="Times New Roman" w:hAnsi="Arial" w:cs="Arial"/>
                <w:bCs/>
                <w:lang w:val="es-ES_tradnl" w:eastAsia="es-ES"/>
              </w:rPr>
              <w:t>numeral 8 de la Ley 1437 de 2011</w:t>
            </w:r>
            <w:r w:rsidR="006D0830">
              <w:rPr>
                <w:rFonts w:ascii="Arial" w:eastAsia="Times New Roman" w:hAnsi="Arial" w:cs="Arial"/>
                <w:bCs/>
                <w:lang w:val="es-ES_tradnl" w:eastAsia="es-ES"/>
              </w:rPr>
              <w:t xml:space="preserve"> y</w:t>
            </w:r>
            <w:r w:rsidR="007300B6">
              <w:rPr>
                <w:rFonts w:ascii="Arial" w:eastAsia="Times New Roman" w:hAnsi="Arial" w:cs="Arial"/>
                <w:bCs/>
                <w:lang w:val="es-ES_tradnl" w:eastAsia="es-ES"/>
              </w:rPr>
              <w:t xml:space="preserve"> </w:t>
            </w:r>
            <w:r w:rsidR="00DE0C49">
              <w:rPr>
                <w:rFonts w:ascii="Arial" w:eastAsia="Times New Roman" w:hAnsi="Arial" w:cs="Arial"/>
                <w:bCs/>
                <w:lang w:val="es-ES_tradnl" w:eastAsia="es-ES"/>
              </w:rPr>
              <w:t xml:space="preserve">en </w:t>
            </w:r>
            <w:r w:rsidR="00C93040">
              <w:rPr>
                <w:rFonts w:ascii="Arial" w:eastAsia="Times New Roman" w:hAnsi="Arial" w:cs="Arial"/>
                <w:bCs/>
                <w:lang w:val="es-ES_tradnl" w:eastAsia="es-ES"/>
              </w:rPr>
              <w:t xml:space="preserve">los artículos </w:t>
            </w:r>
            <w:r w:rsidR="00B90367" w:rsidRPr="00B90367">
              <w:rPr>
                <w:rFonts w:ascii="Arial" w:eastAsia="Times New Roman" w:hAnsi="Arial" w:cs="Arial"/>
                <w:bCs/>
                <w:lang w:val="es-ES_tradnl" w:eastAsia="es-ES"/>
              </w:rPr>
              <w:t xml:space="preserve">2.1.2.1.13 y 2.1.2.1.14 del </w:t>
            </w:r>
            <w:r w:rsidR="00B90367">
              <w:rPr>
                <w:rFonts w:ascii="Arial" w:eastAsia="Times New Roman" w:hAnsi="Arial" w:cs="Arial"/>
                <w:bCs/>
                <w:lang w:val="es-ES_tradnl" w:eastAsia="es-ES"/>
              </w:rPr>
              <w:t>D</w:t>
            </w:r>
            <w:r w:rsidR="00B90367" w:rsidRPr="00B90367">
              <w:rPr>
                <w:rFonts w:ascii="Arial" w:eastAsia="Times New Roman" w:hAnsi="Arial" w:cs="Arial"/>
                <w:bCs/>
                <w:lang w:val="es-ES_tradnl" w:eastAsia="es-ES"/>
              </w:rPr>
              <w:t xml:space="preserve">ecreto 1081 de 2015, modificado por el </w:t>
            </w:r>
            <w:r w:rsidR="00B90367">
              <w:rPr>
                <w:rFonts w:ascii="Arial" w:eastAsia="Times New Roman" w:hAnsi="Arial" w:cs="Arial"/>
                <w:bCs/>
                <w:lang w:val="es-ES_tradnl" w:eastAsia="es-ES"/>
              </w:rPr>
              <w:t>D</w:t>
            </w:r>
            <w:r w:rsidR="00B90367" w:rsidRPr="00B90367">
              <w:rPr>
                <w:rFonts w:ascii="Arial" w:eastAsia="Times New Roman" w:hAnsi="Arial" w:cs="Arial"/>
                <w:bCs/>
                <w:lang w:val="es-ES_tradnl" w:eastAsia="es-ES"/>
              </w:rPr>
              <w:t>ecreto 1609</w:t>
            </w:r>
            <w:r w:rsidR="00C82F64">
              <w:rPr>
                <w:rFonts w:ascii="Arial" w:eastAsia="Times New Roman" w:hAnsi="Arial" w:cs="Arial"/>
                <w:bCs/>
                <w:lang w:val="es-ES_tradnl" w:eastAsia="es-ES"/>
              </w:rPr>
              <w:t xml:space="preserve"> de 2015</w:t>
            </w:r>
            <w:r w:rsidR="004F25B2">
              <w:rPr>
                <w:rFonts w:ascii="Arial" w:eastAsia="Times New Roman" w:hAnsi="Arial" w:cs="Arial"/>
                <w:bCs/>
                <w:lang w:val="es-ES_tradnl" w:eastAsia="es-ES"/>
              </w:rPr>
              <w:t xml:space="preserve">, para lo cual </w:t>
            </w:r>
            <w:r w:rsidR="00A555A4">
              <w:rPr>
                <w:rFonts w:ascii="Arial" w:eastAsia="Times New Roman" w:hAnsi="Arial" w:cs="Arial"/>
                <w:bCs/>
                <w:lang w:val="es-ES_tradnl" w:eastAsia="es-ES"/>
              </w:rPr>
              <w:t xml:space="preserve">el </w:t>
            </w:r>
            <w:r w:rsidR="00851EE6">
              <w:rPr>
                <w:rFonts w:ascii="Arial" w:eastAsia="Times New Roman" w:hAnsi="Arial" w:cs="Arial"/>
                <w:bCs/>
                <w:lang w:val="es-ES_tradnl" w:eastAsia="es-ES"/>
              </w:rPr>
              <w:t xml:space="preserve">proyecto de acto administrativo </w:t>
            </w:r>
            <w:r w:rsidR="004F25B2">
              <w:rPr>
                <w:rFonts w:ascii="Arial" w:eastAsia="Times New Roman" w:hAnsi="Arial" w:cs="Arial"/>
                <w:bCs/>
                <w:lang w:val="es-ES_tradnl" w:eastAsia="es-ES"/>
              </w:rPr>
              <w:t xml:space="preserve">se remite previamente a la Dirección Jurídica para que </w:t>
            </w:r>
            <w:r w:rsidR="00BD16B3">
              <w:rPr>
                <w:rFonts w:ascii="Arial" w:eastAsia="Times New Roman" w:hAnsi="Arial" w:cs="Arial"/>
                <w:bCs/>
                <w:lang w:val="es-ES_tradnl" w:eastAsia="es-ES"/>
              </w:rPr>
              <w:t xml:space="preserve">esta dependencia </w:t>
            </w:r>
            <w:r w:rsidR="004F25B2">
              <w:rPr>
                <w:rFonts w:ascii="Arial" w:eastAsia="Times New Roman" w:hAnsi="Arial" w:cs="Arial"/>
                <w:bCs/>
                <w:lang w:val="es-ES_tradnl" w:eastAsia="es-ES"/>
              </w:rPr>
              <w:t xml:space="preserve">autorice </w:t>
            </w:r>
            <w:r w:rsidR="00A555A4">
              <w:rPr>
                <w:rFonts w:ascii="Arial" w:eastAsia="Times New Roman" w:hAnsi="Arial" w:cs="Arial"/>
                <w:bCs/>
                <w:lang w:val="es-ES_tradnl" w:eastAsia="es-ES"/>
              </w:rPr>
              <w:t xml:space="preserve">su publicación </w:t>
            </w:r>
            <w:r w:rsidR="00851EE6">
              <w:rPr>
                <w:rFonts w:ascii="Arial" w:eastAsia="Times New Roman" w:hAnsi="Arial" w:cs="Arial"/>
                <w:bCs/>
                <w:lang w:val="es-ES_tradnl" w:eastAsia="es-ES"/>
              </w:rPr>
              <w:t xml:space="preserve">con el ánimo de </w:t>
            </w:r>
            <w:r w:rsidR="00A555A4">
              <w:rPr>
                <w:rFonts w:ascii="Arial" w:eastAsia="Times New Roman" w:hAnsi="Arial" w:cs="Arial"/>
                <w:bCs/>
                <w:lang w:val="es-ES_tradnl" w:eastAsia="es-ES"/>
              </w:rPr>
              <w:t>recibir comentarios por parte de la ciudadanía</w:t>
            </w:r>
            <w:r w:rsidR="007B1B23">
              <w:rPr>
                <w:rFonts w:ascii="Arial" w:eastAsia="Times New Roman" w:hAnsi="Arial" w:cs="Arial"/>
                <w:bCs/>
                <w:lang w:val="es-ES_tradnl" w:eastAsia="es-ES"/>
              </w:rPr>
              <w:t>.</w:t>
            </w:r>
          </w:p>
          <w:p w14:paraId="5F3BF85E" w14:textId="77777777" w:rsidR="005E0492" w:rsidRPr="005D46B8" w:rsidRDefault="005E0492" w:rsidP="005D46B8">
            <w:pPr>
              <w:spacing w:after="0" w:line="240" w:lineRule="auto"/>
              <w:ind w:left="284" w:right="62"/>
              <w:contextualSpacing/>
              <w:jc w:val="both"/>
              <w:rPr>
                <w:rFonts w:ascii="Arial" w:hAnsi="Arial" w:cs="Arial"/>
                <w:bCs/>
              </w:rPr>
            </w:pPr>
          </w:p>
          <w:tbl>
            <w:tblPr>
              <w:tblW w:w="8789"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9"/>
            </w:tblGrid>
            <w:tr w:rsidR="001F406C" w:rsidRPr="005D46B8" w14:paraId="08C59986" w14:textId="77777777" w:rsidTr="009E222D">
              <w:trPr>
                <w:trHeight w:val="450"/>
              </w:trPr>
              <w:tc>
                <w:tcPr>
                  <w:tcW w:w="8789" w:type="dxa"/>
                </w:tcPr>
                <w:p w14:paraId="1AB40F8F" w14:textId="77777777" w:rsidR="001F406C" w:rsidRPr="005D46B8" w:rsidRDefault="001F406C" w:rsidP="005D46B8">
                  <w:pPr>
                    <w:numPr>
                      <w:ilvl w:val="0"/>
                      <w:numId w:val="1"/>
                    </w:numPr>
                    <w:tabs>
                      <w:tab w:val="left" w:pos="165"/>
                    </w:tabs>
                    <w:spacing w:after="0" w:line="240" w:lineRule="auto"/>
                    <w:ind w:left="481" w:hanging="425"/>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VIABILIDAD JURÍDICA</w:t>
                  </w:r>
                </w:p>
              </w:tc>
            </w:tr>
          </w:tbl>
          <w:p w14:paraId="1F9F627A" w14:textId="77777777" w:rsidR="001F406C" w:rsidRPr="005D46B8" w:rsidRDefault="001F406C" w:rsidP="005D46B8">
            <w:pPr>
              <w:tabs>
                <w:tab w:val="left" w:pos="165"/>
              </w:tabs>
              <w:spacing w:after="0" w:line="240" w:lineRule="auto"/>
              <w:jc w:val="both"/>
              <w:rPr>
                <w:rFonts w:ascii="Arial" w:eastAsia="Times New Roman" w:hAnsi="Arial" w:cs="Arial"/>
                <w:b/>
                <w:lang w:val="es-ES_tradnl" w:eastAsia="es-ES"/>
              </w:rPr>
            </w:pPr>
          </w:p>
          <w:p w14:paraId="4526B220" w14:textId="1DD33F23" w:rsidR="009816F6" w:rsidRDefault="001F406C" w:rsidP="006E0576">
            <w:pPr>
              <w:tabs>
                <w:tab w:val="left" w:pos="165"/>
              </w:tabs>
              <w:spacing w:after="0" w:line="240" w:lineRule="auto"/>
              <w:ind w:left="142" w:right="62"/>
              <w:contextualSpacing/>
              <w:jc w:val="both"/>
              <w:rPr>
                <w:rFonts w:ascii="Arial" w:hAnsi="Arial" w:cs="Arial"/>
              </w:rPr>
            </w:pPr>
            <w:r w:rsidRPr="0076658D">
              <w:rPr>
                <w:rFonts w:ascii="Arial" w:eastAsia="Times New Roman" w:hAnsi="Arial" w:cs="Arial"/>
                <w:bCs/>
                <w:lang w:val="es-ES_tradnl" w:eastAsia="es-ES"/>
              </w:rPr>
              <w:t xml:space="preserve">El proyecto de </w:t>
            </w:r>
            <w:r w:rsidR="007B1B23" w:rsidRPr="0076658D">
              <w:rPr>
                <w:rFonts w:ascii="Arial" w:eastAsia="Times New Roman" w:hAnsi="Arial" w:cs="Arial"/>
                <w:bCs/>
                <w:lang w:val="es-ES_tradnl" w:eastAsia="es-ES"/>
              </w:rPr>
              <w:t xml:space="preserve">resolución </w:t>
            </w:r>
            <w:r w:rsidR="00A57BEE" w:rsidRPr="0076658D">
              <w:rPr>
                <w:rFonts w:ascii="Arial" w:hAnsi="Arial" w:cs="Arial"/>
                <w:bCs/>
              </w:rPr>
              <w:t xml:space="preserve">que </w:t>
            </w:r>
            <w:r w:rsidR="00FC4405" w:rsidRPr="0076658D">
              <w:rPr>
                <w:rFonts w:ascii="Arial" w:hAnsi="Arial" w:cs="Arial"/>
              </w:rPr>
              <w:t xml:space="preserve">se requiere expedir para </w:t>
            </w:r>
            <w:r w:rsidR="00194908" w:rsidRPr="0076658D">
              <w:rPr>
                <w:rFonts w:ascii="Arial" w:eastAsia="Arial" w:hAnsi="Arial" w:cs="Arial"/>
                <w:iCs/>
              </w:rPr>
              <w:t>establece</w:t>
            </w:r>
            <w:r w:rsidR="00194908" w:rsidRPr="0076658D">
              <w:rPr>
                <w:rFonts w:ascii="Arial" w:eastAsia="Arial" w:hAnsi="Arial" w:cs="Arial"/>
                <w:iCs/>
              </w:rPr>
              <w:t>r</w:t>
            </w:r>
            <w:r w:rsidR="00194908" w:rsidRPr="0076658D">
              <w:rPr>
                <w:rFonts w:ascii="Arial" w:eastAsia="Arial" w:hAnsi="Arial" w:cs="Arial"/>
                <w:iCs/>
              </w:rPr>
              <w:t xml:space="preserve"> el registro de negaciones de servicios y tecnologías en salud en los Regímenes Contributivo y Subsidiado y el procedimiento para la devolución de recursos por servicios y tecnologías de salud negados sin justa causa, financiados con cargo a la prima UPC</w:t>
            </w:r>
            <w:r w:rsidR="00194908" w:rsidRPr="0076658D">
              <w:rPr>
                <w:rFonts w:ascii="Arial" w:eastAsia="Arial" w:hAnsi="Arial" w:cs="Arial"/>
                <w:bCs/>
                <w:iCs/>
              </w:rPr>
              <w:t xml:space="preserve">, </w:t>
            </w:r>
            <w:r w:rsidR="00330214" w:rsidRPr="0076658D">
              <w:rPr>
                <w:rFonts w:ascii="Arial" w:eastAsia="Arial" w:hAnsi="Arial" w:cs="Arial"/>
                <w:bCs/>
                <w:iCs/>
              </w:rPr>
              <w:t xml:space="preserve">en donde </w:t>
            </w:r>
            <w:r w:rsidR="00194908" w:rsidRPr="0076658D">
              <w:rPr>
                <w:rFonts w:ascii="Arial" w:eastAsia="Arial" w:hAnsi="Arial" w:cs="Arial"/>
                <w:bCs/>
                <w:iCs/>
              </w:rPr>
              <w:t xml:space="preserve">se </w:t>
            </w:r>
            <w:r w:rsidR="00194908" w:rsidRPr="0076658D">
              <w:rPr>
                <w:rFonts w:ascii="Arial" w:eastAsia="Arial" w:hAnsi="Arial" w:cs="Arial"/>
                <w:iCs/>
              </w:rPr>
              <w:t>establecen fuentes de información</w:t>
            </w:r>
            <w:r w:rsidR="00330214" w:rsidRPr="0076658D">
              <w:rPr>
                <w:rFonts w:ascii="Arial" w:eastAsia="Arial" w:hAnsi="Arial" w:cs="Arial"/>
                <w:iCs/>
              </w:rPr>
              <w:t xml:space="preserve">, se </w:t>
            </w:r>
            <w:r w:rsidR="00161952" w:rsidRPr="0076658D">
              <w:rPr>
                <w:rFonts w:ascii="Arial" w:eastAsia="Times New Roman" w:hAnsi="Arial" w:cs="Arial"/>
                <w:bCs/>
                <w:lang w:val="es-ES_tradnl" w:eastAsia="es-ES"/>
              </w:rPr>
              <w:t xml:space="preserve">expide en ejercicio de las </w:t>
            </w:r>
            <w:r w:rsidR="00161952" w:rsidRPr="0076658D">
              <w:rPr>
                <w:rFonts w:ascii="Arial" w:eastAsia="Arial" w:hAnsi="Arial" w:cs="Arial"/>
              </w:rPr>
              <w:t xml:space="preserve">facultades </w:t>
            </w:r>
            <w:r w:rsidR="00161952" w:rsidRPr="0076658D">
              <w:rPr>
                <w:rFonts w:ascii="Arial" w:hAnsi="Arial" w:cs="Arial"/>
              </w:rPr>
              <w:t xml:space="preserve">constitucionales y legales, en especial, </w:t>
            </w:r>
            <w:r w:rsidR="000E10BF" w:rsidRPr="0076658D">
              <w:rPr>
                <w:rFonts w:ascii="Arial" w:eastAsia="Arial" w:hAnsi="Arial" w:cs="Arial"/>
                <w:color w:val="000000" w:themeColor="text1"/>
              </w:rPr>
              <w:t xml:space="preserve">de las conferidas por el </w:t>
            </w:r>
            <w:r w:rsidR="004D446E" w:rsidRPr="0076658D">
              <w:rPr>
                <w:rFonts w:ascii="Arial" w:eastAsia="Arial" w:hAnsi="Arial" w:cs="Arial"/>
                <w:color w:val="000000" w:themeColor="text1"/>
              </w:rPr>
              <w:t xml:space="preserve">numeral 3 del artículo 173 de la Ley 100 de 1993, el numeral 3 del artículo 59 de la Ley 489 de 1998, el artículo 3 del Decreto Ley 1281 de 2002 modificado por el artículo 7 de la Ley 1949 de 2019, el numeral 23 del artículo 2º del Decreto Ley 4107 de 2011 y en desarrollo de la orden decimonovena (19) de </w:t>
            </w:r>
            <w:r w:rsidR="004D446E" w:rsidRPr="0076658D">
              <w:rPr>
                <w:rFonts w:ascii="Arial" w:eastAsia="Arial" w:hAnsi="Arial" w:cs="Arial"/>
              </w:rPr>
              <w:t>la Sentencia T-760 de 2008</w:t>
            </w:r>
            <w:r w:rsidR="0076658D" w:rsidRPr="0076658D">
              <w:rPr>
                <w:rFonts w:ascii="Arial" w:eastAsia="Arial" w:hAnsi="Arial" w:cs="Arial"/>
              </w:rPr>
              <w:t xml:space="preserve"> </w:t>
            </w:r>
            <w:r w:rsidR="0076658D" w:rsidRPr="0076658D">
              <w:rPr>
                <w:rFonts w:ascii="Arial" w:eastAsia="Arial" w:hAnsi="Arial" w:cs="Arial"/>
                <w:color w:val="000000" w:themeColor="text1"/>
              </w:rPr>
              <w:t>de la Corte Constitucional</w:t>
            </w:r>
            <w:r w:rsidR="00161952" w:rsidRPr="0076658D">
              <w:rPr>
                <w:rFonts w:ascii="Arial" w:hAnsi="Arial" w:cs="Arial"/>
              </w:rPr>
              <w:t>.</w:t>
            </w:r>
          </w:p>
          <w:p w14:paraId="00037B04" w14:textId="77777777" w:rsidR="00C2436D" w:rsidRDefault="00C2436D" w:rsidP="006E0576">
            <w:pPr>
              <w:tabs>
                <w:tab w:val="left" w:pos="165"/>
              </w:tabs>
              <w:spacing w:after="0" w:line="240" w:lineRule="auto"/>
              <w:ind w:left="142" w:right="62"/>
              <w:contextualSpacing/>
              <w:jc w:val="both"/>
              <w:rPr>
                <w:rFonts w:ascii="Arial" w:hAnsi="Arial" w:cs="Arial"/>
              </w:rPr>
            </w:pPr>
          </w:p>
          <w:p w14:paraId="3DA09235" w14:textId="77777777" w:rsidR="00C2436D" w:rsidRPr="0076658D" w:rsidRDefault="00C2436D" w:rsidP="006E0576">
            <w:pPr>
              <w:tabs>
                <w:tab w:val="left" w:pos="165"/>
              </w:tabs>
              <w:spacing w:after="0" w:line="240" w:lineRule="auto"/>
              <w:ind w:left="142" w:right="62"/>
              <w:contextualSpacing/>
              <w:jc w:val="both"/>
              <w:rPr>
                <w:rFonts w:ascii="Arial" w:hAnsi="Arial" w:cs="Arial"/>
              </w:rPr>
            </w:pPr>
          </w:p>
          <w:p w14:paraId="301A9785" w14:textId="77777777" w:rsidR="001F406C" w:rsidRPr="005D46B8" w:rsidRDefault="001F406C" w:rsidP="005D46B8">
            <w:pPr>
              <w:tabs>
                <w:tab w:val="left" w:pos="165"/>
              </w:tabs>
              <w:spacing w:after="0" w:line="240" w:lineRule="auto"/>
              <w:ind w:left="214" w:right="356"/>
              <w:jc w:val="both"/>
              <w:rPr>
                <w:rFonts w:ascii="Arial" w:eastAsia="Times New Roman" w:hAnsi="Arial" w:cs="Arial"/>
                <w:bCs/>
                <w:lang w:val="es-ES_tradnl" w:eastAsia="es-ES"/>
              </w:rPr>
            </w:pPr>
          </w:p>
          <w:p w14:paraId="07338BC8" w14:textId="77777777" w:rsidR="001F406C" w:rsidRPr="005D46B8" w:rsidRDefault="001F406C" w:rsidP="005D46B8">
            <w:pPr>
              <w:numPr>
                <w:ilvl w:val="0"/>
                <w:numId w:val="1"/>
              </w:numPr>
              <w:tabs>
                <w:tab w:val="left" w:pos="165"/>
              </w:tabs>
              <w:spacing w:after="0" w:line="240" w:lineRule="auto"/>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lastRenderedPageBreak/>
              <w:t>CUALQUIER OTRO ASPECTO QUE LA ENTIDAD REMITENTE CONSIDERE RELEVANTE O DE IMPORTANCIA PARA LA ADOPCIÓN DE LA DECISIÓN</w:t>
            </w:r>
          </w:p>
          <w:p w14:paraId="5F862F8D" w14:textId="77777777" w:rsidR="001F406C" w:rsidRPr="005D46B8" w:rsidRDefault="001F406C" w:rsidP="005D46B8">
            <w:pPr>
              <w:tabs>
                <w:tab w:val="left" w:pos="165"/>
              </w:tabs>
              <w:spacing w:after="0" w:line="240" w:lineRule="auto"/>
              <w:ind w:left="142"/>
              <w:jc w:val="both"/>
              <w:rPr>
                <w:rFonts w:ascii="Arial" w:eastAsia="Times New Roman" w:hAnsi="Arial" w:cs="Arial"/>
                <w:b/>
                <w:lang w:val="es-ES_tradnl" w:eastAsia="es-ES"/>
              </w:rPr>
            </w:pPr>
          </w:p>
          <w:p w14:paraId="66C4B28F" w14:textId="636634BD" w:rsidR="00C2436D" w:rsidRPr="00082004" w:rsidRDefault="009223C7" w:rsidP="00F231CC">
            <w:pPr>
              <w:tabs>
                <w:tab w:val="left" w:pos="165"/>
              </w:tabs>
              <w:spacing w:after="0" w:line="240" w:lineRule="auto"/>
              <w:ind w:left="142" w:right="64"/>
              <w:jc w:val="both"/>
              <w:rPr>
                <w:rFonts w:ascii="Arial" w:hAnsi="Arial" w:cs="Arial"/>
              </w:rPr>
            </w:pPr>
            <w:r w:rsidRPr="00082004">
              <w:rPr>
                <w:rFonts w:ascii="Arial" w:hAnsi="Arial" w:cs="Arial"/>
              </w:rPr>
              <w:t xml:space="preserve">Entre otros aspectos relevantes, </w:t>
            </w:r>
            <w:r w:rsidR="00476EA6" w:rsidRPr="00082004">
              <w:rPr>
                <w:rFonts w:ascii="Arial" w:hAnsi="Arial" w:cs="Arial"/>
              </w:rPr>
              <w:t xml:space="preserve">es preciso señalar que </w:t>
            </w:r>
            <w:r w:rsidRPr="00082004">
              <w:rPr>
                <w:rFonts w:ascii="Arial" w:hAnsi="Arial" w:cs="Arial"/>
              </w:rPr>
              <w:t xml:space="preserve">el proyecto de </w:t>
            </w:r>
            <w:r w:rsidR="003B0F22" w:rsidRPr="00082004">
              <w:rPr>
                <w:rFonts w:ascii="Arial" w:hAnsi="Arial" w:cs="Arial"/>
              </w:rPr>
              <w:t>acto administrativo</w:t>
            </w:r>
            <w:r w:rsidR="00F231CC" w:rsidRPr="00082004">
              <w:rPr>
                <w:rFonts w:ascii="Arial" w:hAnsi="Arial" w:cs="Arial"/>
              </w:rPr>
              <w:t xml:space="preserve"> se expide principalmente en cumplimiento de lo ordenado por la Corte Constitucional </w:t>
            </w:r>
            <w:r w:rsidR="00F231CC" w:rsidRPr="00082004">
              <w:rPr>
                <w:rFonts w:ascii="Arial" w:eastAsia="Arial" w:hAnsi="Arial" w:cs="Arial"/>
              </w:rPr>
              <w:t xml:space="preserve">en los </w:t>
            </w:r>
            <w:r w:rsidR="00C2436D" w:rsidRPr="00082004">
              <w:rPr>
                <w:rFonts w:ascii="Arial" w:eastAsia="Arial" w:hAnsi="Arial" w:cs="Arial"/>
              </w:rPr>
              <w:t>autos de seguimiento</w:t>
            </w:r>
            <w:r w:rsidR="00F231CC" w:rsidRPr="00082004">
              <w:rPr>
                <w:rFonts w:ascii="Arial" w:eastAsia="Arial" w:hAnsi="Arial" w:cs="Arial"/>
              </w:rPr>
              <w:t xml:space="preserve"> a la orden decimonovena (19) de la Sentencia T-760 de 2008</w:t>
            </w:r>
            <w:r w:rsidR="00C2436D" w:rsidRPr="00082004">
              <w:rPr>
                <w:rFonts w:ascii="Arial" w:eastAsia="Arial" w:hAnsi="Arial" w:cs="Arial"/>
              </w:rPr>
              <w:t xml:space="preserve">, </w:t>
            </w:r>
            <w:r w:rsidR="00B76187" w:rsidRPr="00082004">
              <w:rPr>
                <w:rFonts w:ascii="Arial" w:eastAsia="Arial" w:hAnsi="Arial" w:cs="Arial"/>
              </w:rPr>
              <w:t>dentro de los que se incluyen</w:t>
            </w:r>
            <w:r w:rsidR="00DA6340" w:rsidRPr="00082004">
              <w:rPr>
                <w:rFonts w:ascii="Arial" w:eastAsia="Arial" w:hAnsi="Arial" w:cs="Arial"/>
              </w:rPr>
              <w:t xml:space="preserve">, </w:t>
            </w:r>
            <w:r w:rsidR="00C2436D" w:rsidRPr="00082004">
              <w:rPr>
                <w:rFonts w:ascii="Arial" w:eastAsia="Arial" w:hAnsi="Arial" w:cs="Arial"/>
              </w:rPr>
              <w:t xml:space="preserve">principalmente, </w:t>
            </w:r>
            <w:r w:rsidR="00C2436D" w:rsidRPr="00082004">
              <w:rPr>
                <w:rFonts w:ascii="Arial" w:eastAsia="Arial" w:hAnsi="Arial" w:cs="Arial"/>
                <w:color w:val="000000" w:themeColor="text1"/>
              </w:rPr>
              <w:t xml:space="preserve">el </w:t>
            </w:r>
            <w:r w:rsidR="00DA6340" w:rsidRPr="00082004">
              <w:rPr>
                <w:rFonts w:ascii="Arial" w:eastAsia="Arial" w:hAnsi="Arial" w:cs="Arial"/>
                <w:color w:val="000000" w:themeColor="text1"/>
              </w:rPr>
              <w:t xml:space="preserve">Auto </w:t>
            </w:r>
            <w:r w:rsidR="00B76187" w:rsidRPr="00082004">
              <w:rPr>
                <w:rFonts w:ascii="Arial" w:eastAsia="Arial" w:hAnsi="Arial" w:cs="Arial"/>
              </w:rPr>
              <w:t>411 de 2015</w:t>
            </w:r>
            <w:r w:rsidR="00DA6340" w:rsidRPr="00082004">
              <w:rPr>
                <w:rFonts w:ascii="Arial" w:eastAsia="Arial" w:hAnsi="Arial" w:cs="Arial"/>
              </w:rPr>
              <w:t xml:space="preserve">, </w:t>
            </w:r>
            <w:r w:rsidR="00BA147A" w:rsidRPr="00082004">
              <w:rPr>
                <w:rFonts w:ascii="Arial" w:eastAsia="Arial" w:hAnsi="Arial" w:cs="Arial"/>
              </w:rPr>
              <w:t>el Auto 122 de 2019</w:t>
            </w:r>
            <w:r w:rsidR="00EE1F65" w:rsidRPr="00082004">
              <w:rPr>
                <w:rFonts w:ascii="Arial" w:eastAsia="Arial" w:hAnsi="Arial" w:cs="Arial"/>
              </w:rPr>
              <w:t xml:space="preserve">, </w:t>
            </w:r>
            <w:r w:rsidR="00EE1F65" w:rsidRPr="00082004">
              <w:rPr>
                <w:rFonts w:ascii="Arial" w:eastAsia="Arial" w:hAnsi="Arial" w:cs="Arial"/>
              </w:rPr>
              <w:t>el Auto 093A de 2020</w:t>
            </w:r>
            <w:r w:rsidR="00082004" w:rsidRPr="00082004">
              <w:rPr>
                <w:rFonts w:ascii="Arial" w:eastAsia="Arial" w:hAnsi="Arial" w:cs="Arial"/>
              </w:rPr>
              <w:t xml:space="preserve">, </w:t>
            </w:r>
            <w:r w:rsidR="00082004" w:rsidRPr="00082004">
              <w:rPr>
                <w:rFonts w:ascii="Arial" w:eastAsia="Arial" w:hAnsi="Arial" w:cs="Arial"/>
              </w:rPr>
              <w:t>el Auto 439 de 2021</w:t>
            </w:r>
            <w:r w:rsidR="00082004" w:rsidRPr="00082004">
              <w:rPr>
                <w:rFonts w:ascii="Arial" w:eastAsia="Arial" w:hAnsi="Arial" w:cs="Arial"/>
              </w:rPr>
              <w:t xml:space="preserve">, el </w:t>
            </w:r>
            <w:r w:rsidR="00C2436D" w:rsidRPr="00082004">
              <w:rPr>
                <w:rFonts w:ascii="Arial" w:eastAsia="Arial" w:hAnsi="Arial" w:cs="Arial"/>
                <w:color w:val="000000" w:themeColor="text1"/>
              </w:rPr>
              <w:t>Auto 005 de 2024 y el Auto del 20 de marzo de 2025</w:t>
            </w:r>
            <w:r w:rsidR="00FE3A15">
              <w:rPr>
                <w:rFonts w:ascii="Arial" w:eastAsia="Arial" w:hAnsi="Arial" w:cs="Arial"/>
                <w:color w:val="000000" w:themeColor="text1"/>
              </w:rPr>
              <w:t xml:space="preserve">, </w:t>
            </w:r>
            <w:r w:rsidR="00C2436D" w:rsidRPr="00082004">
              <w:rPr>
                <w:rFonts w:ascii="Arial" w:eastAsia="Arial" w:hAnsi="Arial" w:cs="Arial"/>
                <w:color w:val="000000" w:themeColor="text1"/>
              </w:rPr>
              <w:t>notificado a esta Cartera Ministerial el 26 de marzo de 2025, entre otros</w:t>
            </w:r>
            <w:r w:rsidR="00082004" w:rsidRPr="00082004">
              <w:rPr>
                <w:rFonts w:ascii="Arial" w:eastAsia="Arial" w:hAnsi="Arial" w:cs="Arial"/>
                <w:color w:val="000000" w:themeColor="text1"/>
              </w:rPr>
              <w:t>.</w:t>
            </w:r>
          </w:p>
          <w:p w14:paraId="269CEC1F" w14:textId="77777777" w:rsidR="009223C7" w:rsidRPr="005D46B8" w:rsidRDefault="009223C7" w:rsidP="005D46B8">
            <w:pPr>
              <w:tabs>
                <w:tab w:val="left" w:pos="165"/>
              </w:tabs>
              <w:spacing w:after="0" w:line="240" w:lineRule="auto"/>
              <w:ind w:left="142"/>
              <w:jc w:val="both"/>
              <w:rPr>
                <w:rFonts w:ascii="Arial" w:eastAsia="Times New Roman" w:hAnsi="Arial" w:cs="Arial"/>
                <w:b/>
                <w:lang w:val="es-ES_tradnl" w:eastAsia="es-ES"/>
              </w:rPr>
            </w:pPr>
          </w:p>
          <w:p w14:paraId="6D1B1F3A" w14:textId="77777777" w:rsidR="001F406C" w:rsidRPr="005D46B8" w:rsidRDefault="001F406C" w:rsidP="005D46B8">
            <w:pPr>
              <w:numPr>
                <w:ilvl w:val="0"/>
                <w:numId w:val="1"/>
              </w:numPr>
              <w:tabs>
                <w:tab w:val="left" w:pos="165"/>
              </w:tabs>
              <w:autoSpaceDE w:val="0"/>
              <w:autoSpaceDN w:val="0"/>
              <w:adjustRightInd w:val="0"/>
              <w:spacing w:after="0" w:line="240" w:lineRule="auto"/>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 xml:space="preserve">DEBER DE COORDINACIÓN </w:t>
            </w:r>
          </w:p>
          <w:p w14:paraId="4489D63A" w14:textId="77777777" w:rsidR="001F406C" w:rsidRPr="005D46B8" w:rsidRDefault="001F406C" w:rsidP="005D46B8">
            <w:pPr>
              <w:tabs>
                <w:tab w:val="left" w:pos="165"/>
              </w:tabs>
              <w:spacing w:after="0" w:line="240" w:lineRule="auto"/>
              <w:ind w:left="862"/>
              <w:jc w:val="both"/>
              <w:rPr>
                <w:rFonts w:ascii="Arial" w:eastAsia="Times New Roman" w:hAnsi="Arial" w:cs="Arial"/>
                <w:b/>
                <w:lang w:val="es-ES_tradnl" w:eastAsia="es-ES"/>
              </w:rPr>
            </w:pPr>
          </w:p>
          <w:p w14:paraId="53E7ECC2" w14:textId="3EBC1407" w:rsidR="004B41DE" w:rsidRPr="00171117" w:rsidRDefault="008A73C2" w:rsidP="00171117">
            <w:pPr>
              <w:tabs>
                <w:tab w:val="left" w:pos="165"/>
              </w:tabs>
              <w:autoSpaceDE w:val="0"/>
              <w:autoSpaceDN w:val="0"/>
              <w:adjustRightInd w:val="0"/>
              <w:spacing w:after="0" w:line="240" w:lineRule="auto"/>
              <w:ind w:left="142" w:right="64"/>
              <w:jc w:val="both"/>
              <w:rPr>
                <w:rFonts w:ascii="Arial" w:eastAsia="Arial" w:hAnsi="Arial" w:cs="Arial"/>
              </w:rPr>
            </w:pPr>
            <w:r w:rsidRPr="00171117">
              <w:rPr>
                <w:rFonts w:ascii="Arial" w:hAnsi="Arial" w:cs="Arial"/>
              </w:rPr>
              <w:t>Para los fines pertinentes</w:t>
            </w:r>
            <w:r w:rsidR="009223C7" w:rsidRPr="00171117">
              <w:rPr>
                <w:rFonts w:ascii="Arial" w:hAnsi="Arial" w:cs="Arial"/>
              </w:rPr>
              <w:t xml:space="preserve"> deberá tenerse en cuenta la colaboración armónica prevista en el artículo 113 de la Constitución Política, en concordancia con el artículo 209 </w:t>
            </w:r>
            <w:r w:rsidR="009223C7" w:rsidRPr="00171117">
              <w:rPr>
                <w:rFonts w:ascii="Arial" w:hAnsi="Arial" w:cs="Arial"/>
                <w:i/>
              </w:rPr>
              <w:t>ibídem</w:t>
            </w:r>
            <w:r w:rsidR="009223C7" w:rsidRPr="00171117">
              <w:rPr>
                <w:rFonts w:ascii="Arial" w:hAnsi="Arial" w:cs="Arial"/>
              </w:rPr>
              <w:t xml:space="preserve">, y el artículo 6º de la Ley 489 de 1998, por la coordinación y colaboración que debe existir para el caso entre el Ministerio </w:t>
            </w:r>
            <w:r w:rsidR="00284E30">
              <w:rPr>
                <w:rFonts w:ascii="Arial" w:hAnsi="Arial" w:cs="Arial"/>
              </w:rPr>
              <w:t xml:space="preserve">de Salud y Protección Social </w:t>
            </w:r>
            <w:r w:rsidR="009223C7" w:rsidRPr="00171117">
              <w:rPr>
                <w:rFonts w:ascii="Arial" w:hAnsi="Arial" w:cs="Arial"/>
              </w:rPr>
              <w:t>co</w:t>
            </w:r>
            <w:r w:rsidR="005E0492" w:rsidRPr="00171117">
              <w:rPr>
                <w:rFonts w:ascii="Arial" w:hAnsi="Arial" w:cs="Arial"/>
              </w:rPr>
              <w:t>mo ente</w:t>
            </w:r>
            <w:r w:rsidR="009223C7" w:rsidRPr="00171117">
              <w:rPr>
                <w:rFonts w:ascii="Arial" w:hAnsi="Arial" w:cs="Arial"/>
              </w:rPr>
              <w:t xml:space="preserve"> regulador</w:t>
            </w:r>
            <w:r w:rsidR="00C12527">
              <w:rPr>
                <w:rFonts w:ascii="Arial" w:hAnsi="Arial" w:cs="Arial"/>
              </w:rPr>
              <w:t xml:space="preserve"> y cabeza del sector </w:t>
            </w:r>
            <w:r w:rsidR="009223C7" w:rsidRPr="00171117">
              <w:rPr>
                <w:rFonts w:ascii="Arial" w:hAnsi="Arial" w:cs="Arial"/>
              </w:rPr>
              <w:t xml:space="preserve">y </w:t>
            </w:r>
            <w:r w:rsidRPr="00171117">
              <w:rPr>
                <w:rFonts w:ascii="Arial" w:hAnsi="Arial" w:cs="Arial"/>
              </w:rPr>
              <w:t xml:space="preserve">dos (2) de sus entidades adscritas, </w:t>
            </w:r>
            <w:r w:rsidR="007B1D01" w:rsidRPr="00171117">
              <w:rPr>
                <w:rFonts w:ascii="Arial" w:hAnsi="Arial" w:cs="Arial"/>
              </w:rPr>
              <w:t>para el caso</w:t>
            </w:r>
            <w:r w:rsidR="00E03870" w:rsidRPr="00171117">
              <w:rPr>
                <w:rFonts w:ascii="Arial" w:hAnsi="Arial" w:cs="Arial"/>
              </w:rPr>
              <w:t>, de una parte,</w:t>
            </w:r>
            <w:r w:rsidR="007B1D01" w:rsidRPr="00171117">
              <w:rPr>
                <w:rFonts w:ascii="Arial" w:hAnsi="Arial" w:cs="Arial"/>
              </w:rPr>
              <w:t xml:space="preserve"> </w:t>
            </w:r>
            <w:r w:rsidR="005E0492" w:rsidRPr="00171117">
              <w:rPr>
                <w:rFonts w:ascii="Arial" w:hAnsi="Arial" w:cs="Arial"/>
              </w:rPr>
              <w:t>la Superintendencia Nacional de Salud, como entidad encargada de inspeccionar, vigilar</w:t>
            </w:r>
            <w:r w:rsidR="00FE5415">
              <w:rPr>
                <w:rFonts w:ascii="Arial" w:hAnsi="Arial" w:cs="Arial"/>
              </w:rPr>
              <w:t xml:space="preserve"> y</w:t>
            </w:r>
            <w:r w:rsidR="005E0492" w:rsidRPr="00171117">
              <w:rPr>
                <w:rFonts w:ascii="Arial" w:hAnsi="Arial" w:cs="Arial"/>
              </w:rPr>
              <w:t xml:space="preserve"> controlar</w:t>
            </w:r>
            <w:r w:rsidR="005B3062" w:rsidRPr="00171117">
              <w:rPr>
                <w:rFonts w:ascii="Arial" w:hAnsi="Arial" w:cs="Arial"/>
              </w:rPr>
              <w:t xml:space="preserve"> a las </w:t>
            </w:r>
            <w:r w:rsidR="007B1D01" w:rsidRPr="00171117">
              <w:rPr>
                <w:rFonts w:ascii="Arial" w:hAnsi="Arial" w:cs="Arial"/>
                <w:color w:val="000000"/>
              </w:rPr>
              <w:t>entidades responsables del aseguramiento en salud de los Regímenes Contributivo y Subsidiado</w:t>
            </w:r>
            <w:r w:rsidR="00E03870" w:rsidRPr="00171117">
              <w:rPr>
                <w:rFonts w:ascii="Arial" w:hAnsi="Arial" w:cs="Arial"/>
                <w:color w:val="000000"/>
              </w:rPr>
              <w:t xml:space="preserve">, y de otra, </w:t>
            </w:r>
            <w:r w:rsidR="00E03870" w:rsidRPr="00171117">
              <w:rPr>
                <w:rFonts w:ascii="Arial" w:eastAsia="Arial" w:hAnsi="Arial" w:cs="Arial"/>
              </w:rPr>
              <w:t>la Administradora de ​los Recursos del Sistema General de Seguridad Social en Salud (ADRES)</w:t>
            </w:r>
            <w:r w:rsidR="004B41DE" w:rsidRPr="00171117">
              <w:rPr>
                <w:rFonts w:ascii="Arial" w:eastAsia="Arial" w:hAnsi="Arial" w:cs="Arial"/>
              </w:rPr>
              <w:t>, entidad que tiene como propósito optimizar la asignación y el uso de los recursos, promover la transparencia y la rendición de cuentas en su manejo, y asegurar que los recursos se destinen de manera eficiente y efectiva a las necesidades prioritarias del sistema de salud.</w:t>
            </w:r>
          </w:p>
          <w:p w14:paraId="6170E76B" w14:textId="77777777" w:rsidR="009223C7" w:rsidRPr="005D46B8" w:rsidRDefault="009223C7" w:rsidP="005D46B8">
            <w:pPr>
              <w:tabs>
                <w:tab w:val="left" w:pos="165"/>
              </w:tabs>
              <w:autoSpaceDE w:val="0"/>
              <w:autoSpaceDN w:val="0"/>
              <w:adjustRightInd w:val="0"/>
              <w:spacing w:after="0" w:line="240" w:lineRule="auto"/>
              <w:jc w:val="both"/>
              <w:rPr>
                <w:rFonts w:ascii="Arial" w:eastAsia="Times New Roman" w:hAnsi="Arial" w:cs="Arial"/>
                <w:lang w:val="es-ES_tradnl" w:eastAsia="es-ES"/>
              </w:rPr>
            </w:pPr>
          </w:p>
          <w:p w14:paraId="436AE397" w14:textId="168FF87D" w:rsidR="001F406C" w:rsidRPr="005D46B8" w:rsidRDefault="001F406C" w:rsidP="005D46B8">
            <w:pPr>
              <w:numPr>
                <w:ilvl w:val="0"/>
                <w:numId w:val="1"/>
              </w:numPr>
              <w:tabs>
                <w:tab w:val="left" w:pos="165"/>
              </w:tabs>
              <w:spacing w:after="0" w:line="240" w:lineRule="auto"/>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ABOGACÍA DE LA COMPETENCIA</w:t>
            </w:r>
          </w:p>
          <w:p w14:paraId="76A9EB06" w14:textId="77777777" w:rsidR="001F406C" w:rsidRPr="005D46B8" w:rsidRDefault="001F406C" w:rsidP="005D46B8">
            <w:pPr>
              <w:tabs>
                <w:tab w:val="left" w:pos="165"/>
              </w:tabs>
              <w:spacing w:after="0" w:line="240" w:lineRule="auto"/>
              <w:ind w:left="862" w:hanging="720"/>
              <w:jc w:val="both"/>
              <w:rPr>
                <w:rFonts w:ascii="Arial" w:eastAsia="Times New Roman" w:hAnsi="Arial" w:cs="Arial"/>
                <w:lang w:val="es-ES_tradnl" w:eastAsia="es-ES"/>
              </w:rPr>
            </w:pPr>
          </w:p>
          <w:p w14:paraId="6FAA36D8" w14:textId="4FAAFA52" w:rsidR="005E0492" w:rsidRPr="005D46B8" w:rsidRDefault="00CF23E3" w:rsidP="005D46B8">
            <w:pPr>
              <w:spacing w:after="0" w:line="240" w:lineRule="auto"/>
              <w:ind w:left="142" w:right="62"/>
              <w:contextualSpacing/>
              <w:jc w:val="both"/>
              <w:rPr>
                <w:rFonts w:ascii="Arial" w:hAnsi="Arial" w:cs="Arial"/>
                <w:bCs/>
              </w:rPr>
            </w:pPr>
            <w:r>
              <w:rPr>
                <w:rFonts w:ascii="Arial" w:hAnsi="Arial" w:cs="Arial"/>
                <w:bCs/>
              </w:rPr>
              <w:t>No aplica</w:t>
            </w:r>
            <w:r w:rsidR="005E0492" w:rsidRPr="005D46B8">
              <w:rPr>
                <w:rFonts w:ascii="Arial" w:hAnsi="Arial" w:cs="Arial"/>
                <w:bCs/>
              </w:rPr>
              <w:t>.</w:t>
            </w:r>
          </w:p>
          <w:p w14:paraId="7006EB6F" w14:textId="77777777" w:rsidR="005E0492" w:rsidRPr="005D46B8" w:rsidRDefault="005E0492" w:rsidP="005D46B8">
            <w:pPr>
              <w:tabs>
                <w:tab w:val="left" w:pos="165"/>
              </w:tabs>
              <w:spacing w:after="0" w:line="240" w:lineRule="auto"/>
              <w:ind w:left="862" w:hanging="720"/>
              <w:jc w:val="both"/>
              <w:rPr>
                <w:rFonts w:ascii="Arial" w:hAnsi="Arial" w:cs="Arial"/>
              </w:rPr>
            </w:pPr>
          </w:p>
          <w:p w14:paraId="548301FA" w14:textId="77777777" w:rsidR="001F406C" w:rsidRPr="005D46B8" w:rsidRDefault="001F406C" w:rsidP="005D46B8">
            <w:pPr>
              <w:numPr>
                <w:ilvl w:val="0"/>
                <w:numId w:val="1"/>
              </w:numPr>
              <w:tabs>
                <w:tab w:val="left" w:pos="165"/>
              </w:tabs>
              <w:autoSpaceDE w:val="0"/>
              <w:autoSpaceDN w:val="0"/>
              <w:adjustRightInd w:val="0"/>
              <w:spacing w:after="0" w:line="240" w:lineRule="auto"/>
              <w:contextualSpacing/>
              <w:jc w:val="both"/>
              <w:rPr>
                <w:rFonts w:ascii="Arial" w:eastAsia="Times New Roman" w:hAnsi="Arial" w:cs="Arial"/>
                <w:b/>
                <w:lang w:val="es-ES_tradnl" w:eastAsia="es-ES"/>
              </w:rPr>
            </w:pPr>
            <w:r w:rsidRPr="005D46B8">
              <w:rPr>
                <w:rFonts w:ascii="Arial" w:eastAsia="Times New Roman" w:hAnsi="Arial" w:cs="Arial"/>
                <w:b/>
                <w:lang w:val="es-ES_tradnl" w:eastAsia="es-ES"/>
              </w:rPr>
              <w:t xml:space="preserve">REGLAMENTOS TÉCNICOS Y DE PROCEDIMIENTOS DE EVALUACIÓN DE LA CONFORMIDAD  </w:t>
            </w:r>
          </w:p>
          <w:p w14:paraId="40EFA904" w14:textId="77777777" w:rsidR="001F406C" w:rsidRPr="005D46B8" w:rsidRDefault="001F406C" w:rsidP="005D46B8">
            <w:pPr>
              <w:tabs>
                <w:tab w:val="left" w:pos="165"/>
              </w:tabs>
              <w:spacing w:after="0" w:line="240" w:lineRule="auto"/>
              <w:ind w:left="862" w:hanging="720"/>
              <w:jc w:val="both"/>
              <w:rPr>
                <w:rFonts w:ascii="Arial" w:eastAsia="Times New Roman" w:hAnsi="Arial" w:cs="Arial"/>
                <w:lang w:val="es-ES_tradnl" w:eastAsia="es-ES"/>
              </w:rPr>
            </w:pPr>
            <w:r w:rsidRPr="005D46B8">
              <w:rPr>
                <w:rFonts w:ascii="Arial" w:eastAsia="Times New Roman" w:hAnsi="Arial" w:cs="Arial"/>
                <w:lang w:val="es-ES_tradnl" w:eastAsia="es-ES"/>
              </w:rPr>
              <w:t xml:space="preserve"> </w:t>
            </w:r>
          </w:p>
          <w:p w14:paraId="4533C616" w14:textId="77777777" w:rsidR="001F406C" w:rsidRPr="005D46B8" w:rsidRDefault="001F406C" w:rsidP="005D46B8">
            <w:pPr>
              <w:tabs>
                <w:tab w:val="left" w:pos="165"/>
              </w:tabs>
              <w:spacing w:after="0" w:line="240" w:lineRule="auto"/>
              <w:ind w:left="862" w:hanging="720"/>
              <w:jc w:val="both"/>
              <w:rPr>
                <w:rFonts w:ascii="Arial" w:eastAsia="Times New Roman" w:hAnsi="Arial" w:cs="Arial"/>
                <w:lang w:val="es-ES_tradnl" w:eastAsia="es-ES"/>
              </w:rPr>
            </w:pPr>
            <w:r w:rsidRPr="005D46B8">
              <w:rPr>
                <w:rFonts w:ascii="Arial" w:eastAsia="Times New Roman" w:hAnsi="Arial" w:cs="Arial"/>
                <w:lang w:val="es-ES_tradnl" w:eastAsia="es-ES"/>
              </w:rPr>
              <w:t xml:space="preserve">No aplica </w:t>
            </w:r>
          </w:p>
          <w:p w14:paraId="6E430657" w14:textId="77777777" w:rsidR="001F406C" w:rsidRPr="005D46B8" w:rsidRDefault="001F406C" w:rsidP="005D46B8">
            <w:pPr>
              <w:tabs>
                <w:tab w:val="left" w:pos="165"/>
              </w:tabs>
              <w:autoSpaceDE w:val="0"/>
              <w:autoSpaceDN w:val="0"/>
              <w:adjustRightInd w:val="0"/>
              <w:spacing w:after="0" w:line="240" w:lineRule="auto"/>
              <w:jc w:val="both"/>
              <w:rPr>
                <w:rFonts w:ascii="Arial" w:eastAsia="Times New Roman" w:hAnsi="Arial" w:cs="Arial"/>
                <w:lang w:val="es-ES_tradnl" w:eastAsia="es-ES"/>
              </w:rPr>
            </w:pPr>
          </w:p>
          <w:p w14:paraId="1C573B55" w14:textId="3986CBA7" w:rsidR="001F406C" w:rsidRPr="005D46B8" w:rsidRDefault="001F406C" w:rsidP="005D46B8">
            <w:pPr>
              <w:tabs>
                <w:tab w:val="left" w:pos="851"/>
              </w:tabs>
              <w:autoSpaceDE w:val="0"/>
              <w:autoSpaceDN w:val="0"/>
              <w:adjustRightInd w:val="0"/>
              <w:spacing w:after="0" w:line="240" w:lineRule="auto"/>
              <w:ind w:left="142"/>
              <w:jc w:val="both"/>
              <w:rPr>
                <w:rFonts w:ascii="Arial" w:eastAsia="Times New Roman" w:hAnsi="Arial" w:cs="Arial"/>
                <w:lang w:val="es-ES_tradnl" w:eastAsia="es-ES"/>
              </w:rPr>
            </w:pPr>
            <w:r w:rsidRPr="005D46B8">
              <w:rPr>
                <w:rFonts w:ascii="Arial" w:eastAsia="Times New Roman" w:hAnsi="Arial" w:cs="Arial"/>
                <w:b/>
                <w:lang w:val="es-ES_tradnl" w:eastAsia="es-ES"/>
              </w:rPr>
              <w:t>Publicidad:</w:t>
            </w:r>
            <w:r w:rsidRPr="005D46B8">
              <w:rPr>
                <w:rFonts w:ascii="Arial" w:eastAsia="Times New Roman" w:hAnsi="Arial" w:cs="Arial"/>
                <w:lang w:val="es-ES_tradnl" w:eastAsia="es-ES"/>
              </w:rPr>
              <w:t xml:space="preserve"> De conformidad con la Ley debe someterse a consideración del público la información del proyecto antes de su expedición: Si </w:t>
            </w:r>
            <w:r w:rsidR="00B44311" w:rsidRPr="005D46B8">
              <w:rPr>
                <w:rFonts w:ascii="Arial" w:eastAsia="Times New Roman" w:hAnsi="Arial" w:cs="Arial"/>
                <w:lang w:val="es-ES_tradnl" w:eastAsia="es-ES"/>
              </w:rPr>
              <w:t xml:space="preserve">   </w:t>
            </w:r>
            <w:r w:rsidRPr="005D46B8">
              <w:rPr>
                <w:rFonts w:ascii="Arial" w:eastAsia="Times New Roman" w:hAnsi="Arial" w:cs="Arial"/>
                <w:u w:val="single"/>
                <w:lang w:val="es-ES_tradnl" w:eastAsia="es-ES"/>
              </w:rPr>
              <w:t>X</w:t>
            </w:r>
            <w:r w:rsidRPr="005D46B8">
              <w:rPr>
                <w:rFonts w:ascii="Arial" w:eastAsia="Times New Roman" w:hAnsi="Arial" w:cs="Arial"/>
                <w:lang w:val="es-ES_tradnl" w:eastAsia="es-ES"/>
              </w:rPr>
              <w:t xml:space="preserve">     No</w:t>
            </w:r>
            <w:r w:rsidR="00437F77">
              <w:rPr>
                <w:rFonts w:ascii="Arial" w:eastAsia="Times New Roman" w:hAnsi="Arial" w:cs="Arial"/>
                <w:lang w:val="es-ES_tradnl" w:eastAsia="es-ES"/>
              </w:rPr>
              <w:t xml:space="preserve">  </w:t>
            </w:r>
            <w:r w:rsidR="00437F77">
              <w:rPr>
                <w:rFonts w:ascii="Arial" w:eastAsia="Times New Roman" w:hAnsi="Arial" w:cs="Arial"/>
                <w:lang w:val="es-ES_tradnl" w:eastAsia="es-ES"/>
              </w:rPr>
              <w:t>_</w:t>
            </w:r>
          </w:p>
          <w:p w14:paraId="598BEBF1" w14:textId="77777777" w:rsidR="001F406C" w:rsidRPr="005D46B8" w:rsidRDefault="001F406C" w:rsidP="005D46B8">
            <w:pPr>
              <w:tabs>
                <w:tab w:val="left" w:pos="851"/>
              </w:tabs>
              <w:autoSpaceDE w:val="0"/>
              <w:autoSpaceDN w:val="0"/>
              <w:adjustRightInd w:val="0"/>
              <w:spacing w:after="0" w:line="240" w:lineRule="auto"/>
              <w:ind w:left="142"/>
              <w:jc w:val="both"/>
              <w:rPr>
                <w:rFonts w:ascii="Arial" w:eastAsia="Times New Roman" w:hAnsi="Arial" w:cs="Arial"/>
                <w:lang w:val="es-ES_tradnl" w:eastAsia="es-ES"/>
              </w:rPr>
            </w:pPr>
          </w:p>
          <w:p w14:paraId="67E76200" w14:textId="033F97DE" w:rsidR="001F406C" w:rsidRPr="005D46B8" w:rsidRDefault="001F406C" w:rsidP="005D46B8">
            <w:pPr>
              <w:tabs>
                <w:tab w:val="left" w:pos="851"/>
              </w:tabs>
              <w:autoSpaceDE w:val="0"/>
              <w:autoSpaceDN w:val="0"/>
              <w:adjustRightInd w:val="0"/>
              <w:spacing w:after="0" w:line="240" w:lineRule="auto"/>
              <w:ind w:left="142"/>
              <w:jc w:val="both"/>
              <w:rPr>
                <w:rFonts w:ascii="Arial" w:eastAsia="Times New Roman" w:hAnsi="Arial" w:cs="Arial"/>
                <w:lang w:val="es-ES_tradnl" w:eastAsia="es-ES"/>
              </w:rPr>
            </w:pPr>
            <w:r w:rsidRPr="005D46B8">
              <w:rPr>
                <w:rFonts w:ascii="Arial" w:eastAsia="Times New Roman" w:hAnsi="Arial" w:cs="Arial"/>
                <w:b/>
                <w:lang w:val="es-ES_tradnl" w:eastAsia="es-ES"/>
              </w:rPr>
              <w:t>Seguridad Jurídica:</w:t>
            </w:r>
            <w:r w:rsidRPr="005D46B8">
              <w:rPr>
                <w:rFonts w:ascii="Arial" w:eastAsia="Times New Roman" w:hAnsi="Arial" w:cs="Arial"/>
                <w:lang w:val="es-ES_tradnl" w:eastAsia="es-ES"/>
              </w:rPr>
              <w:t xml:space="preserve"> Dentro del año inmediatamente anterior ya se había reglamentado la misma materia: Si </w:t>
            </w:r>
            <w:r w:rsidR="00437F77">
              <w:rPr>
                <w:rFonts w:ascii="Arial" w:eastAsia="Times New Roman" w:hAnsi="Arial" w:cs="Arial"/>
                <w:lang w:val="es-ES_tradnl" w:eastAsia="es-ES"/>
              </w:rPr>
              <w:t xml:space="preserve"> _</w:t>
            </w:r>
            <w:r w:rsidRPr="005D46B8">
              <w:rPr>
                <w:rFonts w:ascii="Arial" w:eastAsia="Times New Roman" w:hAnsi="Arial" w:cs="Arial"/>
                <w:lang w:val="es-ES_tradnl" w:eastAsia="es-ES"/>
              </w:rPr>
              <w:t xml:space="preserve">   No  </w:t>
            </w:r>
            <w:r w:rsidR="00B44311" w:rsidRPr="005D46B8">
              <w:rPr>
                <w:rFonts w:ascii="Arial" w:eastAsia="Times New Roman" w:hAnsi="Arial" w:cs="Arial"/>
                <w:lang w:val="es-ES_tradnl" w:eastAsia="es-ES"/>
              </w:rPr>
              <w:t xml:space="preserve"> </w:t>
            </w:r>
            <w:r w:rsidRPr="005D46B8">
              <w:rPr>
                <w:rFonts w:ascii="Arial" w:eastAsia="Times New Roman" w:hAnsi="Arial" w:cs="Arial"/>
                <w:u w:val="single"/>
                <w:lang w:val="es-ES_tradnl" w:eastAsia="es-ES"/>
              </w:rPr>
              <w:t>X</w:t>
            </w:r>
          </w:p>
          <w:p w14:paraId="32A797F5" w14:textId="77777777" w:rsidR="001F406C" w:rsidRPr="005D46B8" w:rsidRDefault="001F406C" w:rsidP="005D46B8">
            <w:pPr>
              <w:tabs>
                <w:tab w:val="left" w:pos="851"/>
              </w:tabs>
              <w:autoSpaceDE w:val="0"/>
              <w:autoSpaceDN w:val="0"/>
              <w:adjustRightInd w:val="0"/>
              <w:spacing w:after="0" w:line="240" w:lineRule="auto"/>
              <w:ind w:left="142"/>
              <w:jc w:val="both"/>
              <w:rPr>
                <w:rFonts w:ascii="Arial" w:eastAsia="Times New Roman" w:hAnsi="Arial" w:cs="Arial"/>
                <w:lang w:val="es-ES_tradnl" w:eastAsia="es-ES"/>
              </w:rPr>
            </w:pPr>
          </w:p>
          <w:p w14:paraId="627D5271" w14:textId="11B560BB" w:rsidR="001F406C" w:rsidRPr="005D46B8" w:rsidRDefault="001F406C" w:rsidP="005D46B8">
            <w:pPr>
              <w:tabs>
                <w:tab w:val="left" w:pos="851"/>
              </w:tabs>
              <w:autoSpaceDE w:val="0"/>
              <w:autoSpaceDN w:val="0"/>
              <w:adjustRightInd w:val="0"/>
              <w:spacing w:after="0" w:line="240" w:lineRule="auto"/>
              <w:ind w:left="142"/>
              <w:jc w:val="both"/>
              <w:rPr>
                <w:rFonts w:ascii="Arial" w:eastAsia="Times New Roman" w:hAnsi="Arial" w:cs="Arial"/>
                <w:lang w:val="es-ES_tradnl" w:eastAsia="es-ES"/>
              </w:rPr>
            </w:pPr>
            <w:r w:rsidRPr="005D46B8">
              <w:rPr>
                <w:rFonts w:ascii="Arial" w:eastAsia="Times New Roman" w:hAnsi="Arial" w:cs="Arial"/>
                <w:b/>
                <w:lang w:val="es-ES_tradnl" w:eastAsia="es-ES"/>
              </w:rPr>
              <w:t>Directrices de técnica normativa y Vo. Bo.</w:t>
            </w:r>
            <w:r w:rsidRPr="005D46B8">
              <w:rPr>
                <w:rFonts w:ascii="Arial" w:eastAsia="Times New Roman" w:hAnsi="Arial" w:cs="Arial"/>
                <w:lang w:val="es-ES_tradnl" w:eastAsia="es-ES"/>
              </w:rPr>
              <w:t xml:space="preserve"> El proyecto cumple con las directrices de técnica normativa previstas en el Decreto 1081 de 2015</w:t>
            </w:r>
            <w:r w:rsidR="00437F77">
              <w:rPr>
                <w:rFonts w:ascii="Arial" w:eastAsia="Times New Roman" w:hAnsi="Arial" w:cs="Arial"/>
                <w:lang w:val="es-ES_tradnl" w:eastAsia="es-ES"/>
              </w:rPr>
              <w:t xml:space="preserve">, </w:t>
            </w:r>
            <w:r w:rsidR="00437F77" w:rsidRPr="00437F77">
              <w:rPr>
                <w:rFonts w:ascii="Arial" w:eastAsia="Times New Roman" w:hAnsi="Arial" w:cs="Arial"/>
                <w:bCs/>
                <w:lang w:val="es-ES_tradnl" w:eastAsia="es-ES"/>
              </w:rPr>
              <w:t xml:space="preserve">modificado por el </w:t>
            </w:r>
            <w:r w:rsidR="00437F77">
              <w:rPr>
                <w:rFonts w:ascii="Arial" w:eastAsia="Times New Roman" w:hAnsi="Arial" w:cs="Arial"/>
                <w:bCs/>
                <w:lang w:val="es-ES_tradnl" w:eastAsia="es-ES"/>
              </w:rPr>
              <w:t>D</w:t>
            </w:r>
            <w:r w:rsidR="00437F77" w:rsidRPr="00437F77">
              <w:rPr>
                <w:rFonts w:ascii="Arial" w:eastAsia="Times New Roman" w:hAnsi="Arial" w:cs="Arial"/>
                <w:bCs/>
                <w:lang w:val="es-ES_tradnl" w:eastAsia="es-ES"/>
              </w:rPr>
              <w:t>ecreto 1609 del mismo año</w:t>
            </w:r>
            <w:r w:rsidRPr="005D46B8">
              <w:rPr>
                <w:rFonts w:ascii="Arial" w:eastAsia="Times New Roman" w:hAnsi="Arial" w:cs="Arial"/>
                <w:lang w:val="es-ES_tradnl" w:eastAsia="es-ES"/>
              </w:rPr>
              <w:t xml:space="preserve">: Si   </w:t>
            </w:r>
            <w:r w:rsidRPr="005D46B8">
              <w:rPr>
                <w:rFonts w:ascii="Arial" w:eastAsia="Times New Roman" w:hAnsi="Arial" w:cs="Arial"/>
                <w:u w:val="single"/>
                <w:lang w:val="es-ES_tradnl" w:eastAsia="es-ES"/>
              </w:rPr>
              <w:t>X</w:t>
            </w:r>
            <w:r w:rsidRPr="005D46B8">
              <w:rPr>
                <w:rFonts w:ascii="Arial" w:eastAsia="Times New Roman" w:hAnsi="Arial" w:cs="Arial"/>
                <w:lang w:val="es-ES_tradnl" w:eastAsia="es-ES"/>
              </w:rPr>
              <w:t xml:space="preserve">   No </w:t>
            </w:r>
          </w:p>
          <w:p w14:paraId="7CD09AFB" w14:textId="77777777" w:rsidR="001F406C" w:rsidRPr="005D46B8" w:rsidRDefault="001F406C" w:rsidP="005D46B8">
            <w:pPr>
              <w:tabs>
                <w:tab w:val="left" w:pos="165"/>
              </w:tabs>
              <w:autoSpaceDE w:val="0"/>
              <w:autoSpaceDN w:val="0"/>
              <w:adjustRightInd w:val="0"/>
              <w:spacing w:after="0" w:line="240" w:lineRule="auto"/>
              <w:ind w:left="1416" w:hanging="1274"/>
              <w:jc w:val="both"/>
              <w:rPr>
                <w:rFonts w:ascii="Arial" w:eastAsia="Times New Roman" w:hAnsi="Arial" w:cs="Arial"/>
                <w:b/>
                <w:lang w:val="es-ES_tradnl" w:eastAsia="es-ES"/>
              </w:rPr>
            </w:pPr>
          </w:p>
          <w:p w14:paraId="69D67888" w14:textId="77777777" w:rsidR="001F406C" w:rsidRPr="005D46B8" w:rsidRDefault="001F406C" w:rsidP="005D46B8">
            <w:pPr>
              <w:tabs>
                <w:tab w:val="left" w:pos="165"/>
              </w:tabs>
              <w:autoSpaceDE w:val="0"/>
              <w:autoSpaceDN w:val="0"/>
              <w:adjustRightInd w:val="0"/>
              <w:spacing w:after="0" w:line="240" w:lineRule="auto"/>
              <w:ind w:left="862" w:hanging="720"/>
              <w:jc w:val="both"/>
              <w:rPr>
                <w:rFonts w:ascii="Arial" w:eastAsia="Times New Roman" w:hAnsi="Arial" w:cs="Arial"/>
                <w:b/>
                <w:lang w:val="es-ES_tradnl" w:eastAsia="es-ES"/>
              </w:rPr>
            </w:pPr>
          </w:p>
          <w:p w14:paraId="63DAE23B" w14:textId="77777777" w:rsidR="001F406C" w:rsidRPr="005D46B8" w:rsidRDefault="001F406C" w:rsidP="005D46B8">
            <w:pPr>
              <w:tabs>
                <w:tab w:val="left" w:pos="165"/>
              </w:tabs>
              <w:autoSpaceDE w:val="0"/>
              <w:autoSpaceDN w:val="0"/>
              <w:adjustRightInd w:val="0"/>
              <w:spacing w:after="0" w:line="240" w:lineRule="auto"/>
              <w:ind w:left="862" w:hanging="720"/>
              <w:jc w:val="both"/>
              <w:rPr>
                <w:rFonts w:ascii="Arial" w:eastAsia="Times New Roman" w:hAnsi="Arial" w:cs="Arial"/>
                <w:b/>
                <w:lang w:val="es-ES_tradnl" w:eastAsia="es-ES"/>
              </w:rPr>
            </w:pPr>
          </w:p>
          <w:p w14:paraId="5F25CFB1" w14:textId="77777777" w:rsidR="001F406C" w:rsidRPr="005D46B8" w:rsidRDefault="001F406C" w:rsidP="005D46B8">
            <w:pPr>
              <w:tabs>
                <w:tab w:val="left" w:pos="165"/>
              </w:tabs>
              <w:autoSpaceDE w:val="0"/>
              <w:autoSpaceDN w:val="0"/>
              <w:adjustRightInd w:val="0"/>
              <w:spacing w:after="0" w:line="240" w:lineRule="auto"/>
              <w:ind w:left="862" w:hanging="720"/>
              <w:jc w:val="both"/>
              <w:rPr>
                <w:rFonts w:ascii="Arial" w:eastAsia="Times New Roman" w:hAnsi="Arial" w:cs="Arial"/>
                <w:b/>
                <w:lang w:val="es-ES_tradnl" w:eastAsia="es-ES"/>
              </w:rPr>
            </w:pPr>
          </w:p>
          <w:p w14:paraId="489DA679" w14:textId="77777777" w:rsidR="001F406C" w:rsidRPr="005D46B8" w:rsidRDefault="001F406C" w:rsidP="005D46B8">
            <w:pPr>
              <w:tabs>
                <w:tab w:val="left" w:pos="165"/>
              </w:tabs>
              <w:autoSpaceDE w:val="0"/>
              <w:autoSpaceDN w:val="0"/>
              <w:adjustRightInd w:val="0"/>
              <w:spacing w:after="0" w:line="240" w:lineRule="auto"/>
              <w:ind w:left="862" w:hanging="720"/>
              <w:jc w:val="both"/>
              <w:rPr>
                <w:rFonts w:ascii="Arial" w:eastAsia="Times New Roman" w:hAnsi="Arial" w:cs="Arial"/>
                <w:b/>
                <w:lang w:val="es-ES_tradnl" w:eastAsia="es-ES"/>
              </w:rPr>
            </w:pPr>
          </w:p>
          <w:p w14:paraId="63083C62" w14:textId="7777777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r w:rsidRPr="005D46B8">
              <w:rPr>
                <w:rFonts w:ascii="Arial" w:hAnsi="Arial" w:cs="Arial"/>
                <w:b/>
              </w:rPr>
              <w:t>MARGARITA MARÍA ESCUDERO OSORIO</w:t>
            </w:r>
          </w:p>
          <w:p w14:paraId="4E015FEE" w14:textId="7777777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r w:rsidRPr="005D46B8">
              <w:rPr>
                <w:rFonts w:ascii="Arial" w:hAnsi="Arial" w:cs="Arial"/>
                <w:b/>
              </w:rPr>
              <w:t>Directora de Regulación de la Operación del Aseguramiento en Salud, Riesgos Laborales y Pensiones</w:t>
            </w:r>
          </w:p>
          <w:p w14:paraId="25CA0F9E" w14:textId="7777777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p>
          <w:p w14:paraId="53C5F84A" w14:textId="7777777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p>
          <w:p w14:paraId="6CD30B31" w14:textId="7777777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p>
          <w:p w14:paraId="77614E9C" w14:textId="7777777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p>
          <w:p w14:paraId="6B11A198" w14:textId="77777777" w:rsidR="00A85B90" w:rsidRPr="005D46B8" w:rsidRDefault="00A85B90" w:rsidP="009653C4">
            <w:pPr>
              <w:tabs>
                <w:tab w:val="left" w:pos="165"/>
              </w:tabs>
              <w:autoSpaceDE w:val="0"/>
              <w:autoSpaceDN w:val="0"/>
              <w:adjustRightInd w:val="0"/>
              <w:spacing w:after="0" w:line="240" w:lineRule="auto"/>
              <w:ind w:left="142"/>
              <w:jc w:val="both"/>
              <w:rPr>
                <w:rFonts w:ascii="Arial" w:hAnsi="Arial" w:cs="Arial"/>
                <w:b/>
              </w:rPr>
            </w:pPr>
          </w:p>
          <w:p w14:paraId="1E7125DA" w14:textId="7777777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r w:rsidRPr="005D46B8">
              <w:rPr>
                <w:rFonts w:ascii="Arial" w:hAnsi="Arial" w:cs="Arial"/>
                <w:b/>
              </w:rPr>
              <w:t>RODOLFO ENRIQUE SALAS FIGUEROA</w:t>
            </w:r>
          </w:p>
          <w:p w14:paraId="75C5E9BE" w14:textId="00A60327" w:rsidR="001F406C" w:rsidRPr="005D46B8" w:rsidRDefault="001F406C" w:rsidP="009653C4">
            <w:pPr>
              <w:tabs>
                <w:tab w:val="left" w:pos="165"/>
              </w:tabs>
              <w:autoSpaceDE w:val="0"/>
              <w:autoSpaceDN w:val="0"/>
              <w:adjustRightInd w:val="0"/>
              <w:spacing w:after="0" w:line="240" w:lineRule="auto"/>
              <w:ind w:left="142"/>
              <w:jc w:val="both"/>
              <w:rPr>
                <w:rFonts w:ascii="Arial" w:hAnsi="Arial" w:cs="Arial"/>
                <w:b/>
              </w:rPr>
            </w:pPr>
            <w:r w:rsidRPr="005D46B8">
              <w:rPr>
                <w:rFonts w:ascii="Arial" w:hAnsi="Arial" w:cs="Arial"/>
                <w:b/>
              </w:rPr>
              <w:t>Director Jurídico</w:t>
            </w:r>
            <w:r w:rsidR="000F3822">
              <w:rPr>
                <w:rFonts w:ascii="Arial" w:hAnsi="Arial" w:cs="Arial"/>
                <w:b/>
              </w:rPr>
              <w:t xml:space="preserve"> (E)</w:t>
            </w:r>
          </w:p>
          <w:p w14:paraId="44A51E27" w14:textId="77777777" w:rsidR="001F406C" w:rsidRPr="005D46B8" w:rsidRDefault="001F406C" w:rsidP="005D46B8">
            <w:pPr>
              <w:tabs>
                <w:tab w:val="left" w:pos="165"/>
              </w:tabs>
              <w:autoSpaceDE w:val="0"/>
              <w:autoSpaceDN w:val="0"/>
              <w:adjustRightInd w:val="0"/>
              <w:spacing w:after="0" w:line="240" w:lineRule="auto"/>
              <w:jc w:val="both"/>
              <w:rPr>
                <w:rFonts w:ascii="Arial" w:eastAsia="Times New Roman" w:hAnsi="Arial" w:cs="Arial"/>
                <w:b/>
                <w:lang w:val="es-ES_tradnl" w:eastAsia="es-ES"/>
              </w:rPr>
            </w:pPr>
          </w:p>
        </w:tc>
      </w:tr>
    </w:tbl>
    <w:p w14:paraId="63CF7043" w14:textId="77777777" w:rsidR="001F406C" w:rsidRPr="001F406C" w:rsidRDefault="001F406C" w:rsidP="001F406C">
      <w:pPr>
        <w:spacing w:after="0" w:line="240" w:lineRule="auto"/>
        <w:jc w:val="both"/>
        <w:rPr>
          <w:rFonts w:ascii="Arial" w:eastAsia="Times New Roman" w:hAnsi="Arial" w:cs="Arial"/>
          <w:b/>
          <w:lang w:val="es-ES_tradnl" w:eastAsia="es-ES"/>
        </w:rPr>
      </w:pPr>
    </w:p>
    <w:p w14:paraId="2812A650" w14:textId="77777777" w:rsidR="00FC359F" w:rsidRDefault="00FC359F"/>
    <w:sectPr w:rsidR="00FC359F" w:rsidSect="006A06A6">
      <w:headerReference w:type="first" r:id="rId7"/>
      <w:footerReference w:type="first" r:id="rId8"/>
      <w:pgSz w:w="12240" w:h="18720" w:code="14"/>
      <w:pgMar w:top="1558" w:right="1610" w:bottom="1276" w:left="1701" w:header="720" w:footer="680"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E746D" w14:textId="77777777" w:rsidR="006B5C7B" w:rsidRDefault="006B5C7B">
      <w:pPr>
        <w:spacing w:after="0" w:line="240" w:lineRule="auto"/>
      </w:pPr>
      <w:r>
        <w:separator/>
      </w:r>
    </w:p>
  </w:endnote>
  <w:endnote w:type="continuationSeparator" w:id="0">
    <w:p w14:paraId="7FB4E8AC" w14:textId="77777777" w:rsidR="006B5C7B" w:rsidRDefault="006B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94D7" w14:textId="77777777" w:rsidR="00331A52" w:rsidRDefault="001F406C">
    <w:pPr>
      <w:pStyle w:val="Piedepgina"/>
    </w:pPr>
    <w:r>
      <w:rPr>
        <w:noProof/>
        <w:lang w:val="en-US"/>
      </w:rPr>
      <mc:AlternateContent>
        <mc:Choice Requires="wps">
          <w:drawing>
            <wp:anchor distT="0" distB="0" distL="114300" distR="114300" simplePos="0" relativeHeight="251659264" behindDoc="0" locked="0" layoutInCell="0" allowOverlap="1" wp14:anchorId="23A9A887" wp14:editId="3EB30222">
              <wp:simplePos x="0" y="0"/>
              <wp:positionH relativeFrom="column">
                <wp:posOffset>-167005</wp:posOffset>
              </wp:positionH>
              <wp:positionV relativeFrom="paragraph">
                <wp:posOffset>-127635</wp:posOffset>
              </wp:positionV>
              <wp:extent cx="6035675" cy="635"/>
              <wp:effectExtent l="0" t="0" r="22225" b="374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1680BF84" id="Conector recto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10.05pt" to="462.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3FC5" w14:textId="77777777" w:rsidR="006B5C7B" w:rsidRDefault="006B5C7B">
      <w:pPr>
        <w:spacing w:after="0" w:line="240" w:lineRule="auto"/>
      </w:pPr>
      <w:r>
        <w:separator/>
      </w:r>
    </w:p>
  </w:footnote>
  <w:footnote w:type="continuationSeparator" w:id="0">
    <w:p w14:paraId="5FA517D3" w14:textId="77777777" w:rsidR="006B5C7B" w:rsidRDefault="006B5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2F488" w14:textId="77777777" w:rsidR="00331A52" w:rsidRDefault="006B5C7B">
    <w:pPr>
      <w:pStyle w:val="Encabezado"/>
      <w:jc w:val="center"/>
      <w:rPr>
        <w:rFonts w:ascii="Albertus Extra Bold" w:hAnsi="Albertus Extra Bold"/>
        <w:sz w:val="14"/>
      </w:rPr>
    </w:pPr>
  </w:p>
  <w:p w14:paraId="0A5BE1A6" w14:textId="77777777" w:rsidR="00331A52" w:rsidRDefault="006B5C7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44069"/>
    <w:multiLevelType w:val="hybridMultilevel"/>
    <w:tmpl w:val="5B764E32"/>
    <w:lvl w:ilvl="0" w:tplc="FD2E7B02">
      <w:start w:val="1"/>
      <w:numFmt w:val="upperRoman"/>
      <w:lvlText w:val="%1."/>
      <w:lvlJc w:val="left"/>
      <w:pPr>
        <w:ind w:left="862" w:hanging="720"/>
      </w:pPr>
      <w:rPr>
        <w:rFonts w:hint="default"/>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6C"/>
    <w:rsid w:val="00016574"/>
    <w:rsid w:val="000252B7"/>
    <w:rsid w:val="000405CF"/>
    <w:rsid w:val="00042918"/>
    <w:rsid w:val="00043C4D"/>
    <w:rsid w:val="00043C7A"/>
    <w:rsid w:val="00082004"/>
    <w:rsid w:val="000A05DC"/>
    <w:rsid w:val="000E10BF"/>
    <w:rsid w:val="000F3069"/>
    <w:rsid w:val="000F3822"/>
    <w:rsid w:val="001004B9"/>
    <w:rsid w:val="001163A8"/>
    <w:rsid w:val="00126802"/>
    <w:rsid w:val="00151BD0"/>
    <w:rsid w:val="00161952"/>
    <w:rsid w:val="00171117"/>
    <w:rsid w:val="00180ADE"/>
    <w:rsid w:val="00194908"/>
    <w:rsid w:val="001A3CEA"/>
    <w:rsid w:val="001C3B72"/>
    <w:rsid w:val="001F406C"/>
    <w:rsid w:val="00206AFC"/>
    <w:rsid w:val="002079EE"/>
    <w:rsid w:val="00223878"/>
    <w:rsid w:val="002633F6"/>
    <w:rsid w:val="00275114"/>
    <w:rsid w:val="002803DF"/>
    <w:rsid w:val="00281529"/>
    <w:rsid w:val="002841ED"/>
    <w:rsid w:val="00284E30"/>
    <w:rsid w:val="002A6184"/>
    <w:rsid w:val="002C0092"/>
    <w:rsid w:val="002D0E43"/>
    <w:rsid w:val="002D1653"/>
    <w:rsid w:val="00315970"/>
    <w:rsid w:val="003240B7"/>
    <w:rsid w:val="00330214"/>
    <w:rsid w:val="00334DF6"/>
    <w:rsid w:val="003366F8"/>
    <w:rsid w:val="003374FA"/>
    <w:rsid w:val="00354522"/>
    <w:rsid w:val="0036036E"/>
    <w:rsid w:val="00365C1B"/>
    <w:rsid w:val="003853D5"/>
    <w:rsid w:val="003857F5"/>
    <w:rsid w:val="003B0F22"/>
    <w:rsid w:val="003B1960"/>
    <w:rsid w:val="003C0971"/>
    <w:rsid w:val="003C3608"/>
    <w:rsid w:val="003D536A"/>
    <w:rsid w:val="003E4C77"/>
    <w:rsid w:val="004057B4"/>
    <w:rsid w:val="004232E7"/>
    <w:rsid w:val="00437F77"/>
    <w:rsid w:val="00452F85"/>
    <w:rsid w:val="00466DBC"/>
    <w:rsid w:val="00476EA6"/>
    <w:rsid w:val="004B41DE"/>
    <w:rsid w:val="004B428B"/>
    <w:rsid w:val="004C1F21"/>
    <w:rsid w:val="004C7223"/>
    <w:rsid w:val="004D446E"/>
    <w:rsid w:val="004E17D7"/>
    <w:rsid w:val="004E1A9F"/>
    <w:rsid w:val="004F23B0"/>
    <w:rsid w:val="004F25B2"/>
    <w:rsid w:val="004F3ED9"/>
    <w:rsid w:val="00510361"/>
    <w:rsid w:val="005547C5"/>
    <w:rsid w:val="00555BC2"/>
    <w:rsid w:val="005736FC"/>
    <w:rsid w:val="005738A0"/>
    <w:rsid w:val="00580469"/>
    <w:rsid w:val="00584AA7"/>
    <w:rsid w:val="0058505E"/>
    <w:rsid w:val="005B2486"/>
    <w:rsid w:val="005B29E4"/>
    <w:rsid w:val="005B3062"/>
    <w:rsid w:val="005D46B8"/>
    <w:rsid w:val="005E0492"/>
    <w:rsid w:val="005E35EE"/>
    <w:rsid w:val="005E51FB"/>
    <w:rsid w:val="006362BC"/>
    <w:rsid w:val="00646455"/>
    <w:rsid w:val="00667CB8"/>
    <w:rsid w:val="00677304"/>
    <w:rsid w:val="006B5C7B"/>
    <w:rsid w:val="006D0830"/>
    <w:rsid w:val="006D2A64"/>
    <w:rsid w:val="006E0576"/>
    <w:rsid w:val="007037E2"/>
    <w:rsid w:val="0071124D"/>
    <w:rsid w:val="00711767"/>
    <w:rsid w:val="007300B6"/>
    <w:rsid w:val="007435F5"/>
    <w:rsid w:val="007553C7"/>
    <w:rsid w:val="00761935"/>
    <w:rsid w:val="0076658D"/>
    <w:rsid w:val="0076787D"/>
    <w:rsid w:val="0077684D"/>
    <w:rsid w:val="00782EDE"/>
    <w:rsid w:val="00793912"/>
    <w:rsid w:val="007A585D"/>
    <w:rsid w:val="007B17BB"/>
    <w:rsid w:val="007B1B23"/>
    <w:rsid w:val="007B1D01"/>
    <w:rsid w:val="007C7C2A"/>
    <w:rsid w:val="00834952"/>
    <w:rsid w:val="008437D2"/>
    <w:rsid w:val="00851EE6"/>
    <w:rsid w:val="00875945"/>
    <w:rsid w:val="008A73C2"/>
    <w:rsid w:val="008C35BF"/>
    <w:rsid w:val="008E6785"/>
    <w:rsid w:val="008F1FCC"/>
    <w:rsid w:val="008F20C4"/>
    <w:rsid w:val="008F25B7"/>
    <w:rsid w:val="009223C7"/>
    <w:rsid w:val="009238DE"/>
    <w:rsid w:val="00935FFF"/>
    <w:rsid w:val="00942DC9"/>
    <w:rsid w:val="009653C4"/>
    <w:rsid w:val="00967AE0"/>
    <w:rsid w:val="00975CAF"/>
    <w:rsid w:val="00976F5B"/>
    <w:rsid w:val="009816F6"/>
    <w:rsid w:val="00984662"/>
    <w:rsid w:val="009867EF"/>
    <w:rsid w:val="00987718"/>
    <w:rsid w:val="00997B5C"/>
    <w:rsid w:val="009C0F42"/>
    <w:rsid w:val="009C18BD"/>
    <w:rsid w:val="009C2072"/>
    <w:rsid w:val="009C7CCF"/>
    <w:rsid w:val="009D0467"/>
    <w:rsid w:val="009D4153"/>
    <w:rsid w:val="009E06C8"/>
    <w:rsid w:val="00A555A4"/>
    <w:rsid w:val="00A57BEE"/>
    <w:rsid w:val="00A85B90"/>
    <w:rsid w:val="00A87072"/>
    <w:rsid w:val="00A947FD"/>
    <w:rsid w:val="00AA4B53"/>
    <w:rsid w:val="00AA4FCE"/>
    <w:rsid w:val="00AC3960"/>
    <w:rsid w:val="00B44311"/>
    <w:rsid w:val="00B519ED"/>
    <w:rsid w:val="00B522F6"/>
    <w:rsid w:val="00B550AB"/>
    <w:rsid w:val="00B76187"/>
    <w:rsid w:val="00B84510"/>
    <w:rsid w:val="00B84E56"/>
    <w:rsid w:val="00B87DE0"/>
    <w:rsid w:val="00B90367"/>
    <w:rsid w:val="00BA147A"/>
    <w:rsid w:val="00BA2825"/>
    <w:rsid w:val="00BB545F"/>
    <w:rsid w:val="00BD16B3"/>
    <w:rsid w:val="00C12527"/>
    <w:rsid w:val="00C2436D"/>
    <w:rsid w:val="00C27929"/>
    <w:rsid w:val="00C357F8"/>
    <w:rsid w:val="00C434BD"/>
    <w:rsid w:val="00C453A7"/>
    <w:rsid w:val="00C61B67"/>
    <w:rsid w:val="00C75569"/>
    <w:rsid w:val="00C82F64"/>
    <w:rsid w:val="00C93040"/>
    <w:rsid w:val="00C94597"/>
    <w:rsid w:val="00CD053D"/>
    <w:rsid w:val="00CE418F"/>
    <w:rsid w:val="00CF1170"/>
    <w:rsid w:val="00CF23E3"/>
    <w:rsid w:val="00CF5E16"/>
    <w:rsid w:val="00D2526E"/>
    <w:rsid w:val="00D36227"/>
    <w:rsid w:val="00D71594"/>
    <w:rsid w:val="00D738B9"/>
    <w:rsid w:val="00D8173F"/>
    <w:rsid w:val="00D94DC5"/>
    <w:rsid w:val="00DA6340"/>
    <w:rsid w:val="00DA75AE"/>
    <w:rsid w:val="00DC1648"/>
    <w:rsid w:val="00DE0C49"/>
    <w:rsid w:val="00DF594E"/>
    <w:rsid w:val="00E03870"/>
    <w:rsid w:val="00E1706B"/>
    <w:rsid w:val="00E174AB"/>
    <w:rsid w:val="00E544BC"/>
    <w:rsid w:val="00E57623"/>
    <w:rsid w:val="00E668E8"/>
    <w:rsid w:val="00E66D67"/>
    <w:rsid w:val="00E7694E"/>
    <w:rsid w:val="00E90C41"/>
    <w:rsid w:val="00EB6D62"/>
    <w:rsid w:val="00ED0191"/>
    <w:rsid w:val="00EE1F65"/>
    <w:rsid w:val="00F01A14"/>
    <w:rsid w:val="00F064B8"/>
    <w:rsid w:val="00F06716"/>
    <w:rsid w:val="00F16522"/>
    <w:rsid w:val="00F231CC"/>
    <w:rsid w:val="00F334BE"/>
    <w:rsid w:val="00F92FE2"/>
    <w:rsid w:val="00FA4BF6"/>
    <w:rsid w:val="00FB108D"/>
    <w:rsid w:val="00FC1EA2"/>
    <w:rsid w:val="00FC359F"/>
    <w:rsid w:val="00FC4405"/>
    <w:rsid w:val="00FD44CD"/>
    <w:rsid w:val="00FD74D7"/>
    <w:rsid w:val="00FE3A15"/>
    <w:rsid w:val="00FE5415"/>
    <w:rsid w:val="00FF33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1B10"/>
  <w15:chartTrackingRefBased/>
  <w15:docId w15:val="{BF4DA160-E590-45D9-9184-33A29690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40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F406C"/>
  </w:style>
  <w:style w:type="paragraph" w:styleId="Piedepgina">
    <w:name w:val="footer"/>
    <w:basedOn w:val="Normal"/>
    <w:link w:val="PiedepginaCar"/>
    <w:uiPriority w:val="99"/>
    <w:semiHidden/>
    <w:unhideWhenUsed/>
    <w:rsid w:val="001F40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F406C"/>
  </w:style>
  <w:style w:type="paragraph" w:styleId="NormalWeb">
    <w:name w:val="Normal (Web)"/>
    <w:basedOn w:val="Normal"/>
    <w:link w:val="NormalWebCar"/>
    <w:uiPriority w:val="99"/>
    <w:unhideWhenUsed/>
    <w:rsid w:val="00646455"/>
    <w:pPr>
      <w:spacing w:before="100" w:beforeAutospacing="1" w:after="100" w:afterAutospacing="1" w:line="240" w:lineRule="auto"/>
    </w:pPr>
    <w:rPr>
      <w:rFonts w:ascii="Times New Roman" w:eastAsia="Calibri" w:hAnsi="Times New Roman" w:cs="Times New Roman"/>
      <w:sz w:val="24"/>
      <w:szCs w:val="24"/>
      <w:lang w:eastAsia="es-CO"/>
    </w:rPr>
  </w:style>
  <w:style w:type="character" w:customStyle="1" w:styleId="NormalWebCar">
    <w:name w:val="Normal (Web) Car"/>
    <w:link w:val="NormalWeb"/>
    <w:uiPriority w:val="99"/>
    <w:rsid w:val="00646455"/>
    <w:rPr>
      <w:rFonts w:ascii="Times New Roman" w:eastAsia="Calibri" w:hAnsi="Times New Roman" w:cs="Times New Roman"/>
      <w:sz w:val="24"/>
      <w:szCs w:val="24"/>
      <w:lang w:eastAsia="es-CO"/>
    </w:rPr>
  </w:style>
  <w:style w:type="paragraph" w:styleId="Textoindependiente">
    <w:name w:val="Body Text"/>
    <w:aliases w:val="body text"/>
    <w:basedOn w:val="Normal"/>
    <w:link w:val="TextoindependienteCar"/>
    <w:rsid w:val="0058505E"/>
    <w:pPr>
      <w:spacing w:after="0" w:line="240" w:lineRule="auto"/>
      <w:jc w:val="both"/>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aliases w:val="body text Car"/>
    <w:basedOn w:val="Fuentedeprrafopredeter"/>
    <w:link w:val="Textoindependiente"/>
    <w:rsid w:val="0058505E"/>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FC4405"/>
    <w:rPr>
      <w:sz w:val="16"/>
      <w:szCs w:val="16"/>
    </w:rPr>
  </w:style>
  <w:style w:type="paragraph" w:styleId="Textocomentario">
    <w:name w:val="annotation text"/>
    <w:basedOn w:val="Normal"/>
    <w:link w:val="TextocomentarioCar"/>
    <w:uiPriority w:val="99"/>
    <w:unhideWhenUsed/>
    <w:rsid w:val="00FC4405"/>
    <w:pPr>
      <w:spacing w:line="240" w:lineRule="auto"/>
    </w:pPr>
    <w:rPr>
      <w:sz w:val="20"/>
      <w:szCs w:val="20"/>
    </w:rPr>
  </w:style>
  <w:style w:type="character" w:customStyle="1" w:styleId="TextocomentarioCar">
    <w:name w:val="Texto comentario Car"/>
    <w:basedOn w:val="Fuentedeprrafopredeter"/>
    <w:link w:val="Textocomentario"/>
    <w:uiPriority w:val="99"/>
    <w:rsid w:val="00FC4405"/>
    <w:rPr>
      <w:sz w:val="20"/>
      <w:szCs w:val="20"/>
    </w:rPr>
  </w:style>
  <w:style w:type="paragraph" w:styleId="Textodeglobo">
    <w:name w:val="Balloon Text"/>
    <w:basedOn w:val="Normal"/>
    <w:link w:val="TextodegloboCar"/>
    <w:uiPriority w:val="99"/>
    <w:semiHidden/>
    <w:unhideWhenUsed/>
    <w:rsid w:val="00FC440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405"/>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FC4405"/>
    <w:rPr>
      <w:b/>
      <w:bCs/>
    </w:rPr>
  </w:style>
  <w:style w:type="character" w:customStyle="1" w:styleId="AsuntodelcomentarioCar">
    <w:name w:val="Asunto del comentario Car"/>
    <w:basedOn w:val="TextocomentarioCar"/>
    <w:link w:val="Asuntodelcomentario"/>
    <w:uiPriority w:val="99"/>
    <w:semiHidden/>
    <w:rsid w:val="00FC4405"/>
    <w:rPr>
      <w:b/>
      <w:bCs/>
      <w:sz w:val="20"/>
      <w:szCs w:val="20"/>
    </w:rPr>
  </w:style>
  <w:style w:type="character" w:customStyle="1" w:styleId="baj">
    <w:name w:val="b_aj"/>
    <w:basedOn w:val="Fuentedeprrafopredeter"/>
    <w:rsid w:val="005D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CC2816C67244E964CFEC014928D6D" ma:contentTypeVersion="0" ma:contentTypeDescription="Create a new document." ma:contentTypeScope="" ma:versionID="ace711c85092a840f907f32fd22e551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03A49-5F0E-4DFF-BA84-31F0ED767CAB}"/>
</file>

<file path=customXml/itemProps2.xml><?xml version="1.0" encoding="utf-8"?>
<ds:datastoreItem xmlns:ds="http://schemas.openxmlformats.org/officeDocument/2006/customXml" ds:itemID="{A9B9F416-9529-4CA2-BAD4-C5BF8020DC8A}"/>
</file>

<file path=customXml/itemProps3.xml><?xml version="1.0" encoding="utf-8"?>
<ds:datastoreItem xmlns:ds="http://schemas.openxmlformats.org/officeDocument/2006/customXml" ds:itemID="{20BF72E0-3550-4AB7-979F-EB358432CE5E}"/>
</file>

<file path=docProps/app.xml><?xml version="1.0" encoding="utf-8"?>
<Properties xmlns="http://schemas.openxmlformats.org/officeDocument/2006/extended-properties" xmlns:vt="http://schemas.openxmlformats.org/officeDocument/2006/docPropsVTypes">
  <Template>Normal</Template>
  <TotalTime>199</TotalTime>
  <Pages>5</Pages>
  <Words>2692</Words>
  <Characters>14810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Andres Peña Valderrama</dc:creator>
  <cp:keywords/>
  <dc:description/>
  <cp:lastModifiedBy>Camilo Andres Peña Valderrama</cp:lastModifiedBy>
  <cp:revision>103</cp:revision>
  <dcterms:created xsi:type="dcterms:W3CDTF">2025-03-28T18:12:00Z</dcterms:created>
  <dcterms:modified xsi:type="dcterms:W3CDTF">2025-03-28T22:33:00Z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0x0101000A1CC2816C67244E964CFEC014928D6D</vt:lpwstr>
  </property>
</Properties>
</file>